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81" w:lineRule="exact"/>
        <w:rPr>
          <w:sz w:val="24"/>
          <w:szCs w:val="24"/>
          <w:color w:val="auto"/>
        </w:rPr>
      </w:pPr>
    </w:p>
    <w:p>
      <w:pPr>
        <w:ind w:left="460" w:right="240" w:hanging="452"/>
        <w:spacing w:after="0" w:line="262" w:lineRule="auto"/>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1" w:lineRule="exact"/>
        <w:rPr>
          <w:sz w:val="24"/>
          <w:szCs w:val="24"/>
          <w:color w:val="auto"/>
        </w:rPr>
      </w:pPr>
    </w:p>
    <w:p>
      <w:pPr>
        <w:ind w:left="460" w:right="260" w:hanging="452"/>
        <w:spacing w:after="0" w:line="262"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 w:lineRule="exact"/>
        <w:rPr>
          <w:sz w:val="24"/>
          <w:szCs w:val="24"/>
          <w:color w:val="auto"/>
        </w:rPr>
      </w:pPr>
    </w:p>
    <w:tbl>
      <w:tblPr>
        <w:tblLayout w:type="fixed"/>
        <w:tblInd w:w="1340" w:type="dxa"/>
        <w:tblCellMar>
          <w:top w:w="0" w:type="dxa"/>
          <w:left w:w="0" w:type="dxa"/>
          <w:bottom w:w="0" w:type="dxa"/>
          <w:right w:w="0" w:type="dxa"/>
        </w:tblCellMar>
      </w:tblPr>
      <w:tr>
        <w:trPr>
          <w:trHeight w:val="207"/>
        </w:trPr>
        <w:tc>
          <w:tcPr>
            <w:tcW w:w="4320" w:type="dxa"/>
            <w:vAlign w:val="bottom"/>
          </w:tcPr>
          <w:p>
            <w:pPr>
              <w:ind w:left="194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1040" w:type="dxa"/>
            <w:vAlign w:val="bottom"/>
            <w:tcBorders>
              <w:bottom w:val="single" w:sz="8" w:color="auto"/>
            </w:tcBorders>
            <w:gridSpan w:val="2"/>
          </w:tcPr>
          <w:p>
            <w:pPr>
              <w:spacing w:after="0"/>
              <w:rPr>
                <w:sz w:val="17"/>
                <w:szCs w:val="17"/>
                <w:color w:val="auto"/>
              </w:rPr>
            </w:pPr>
          </w:p>
        </w:tc>
        <w:tc>
          <w:tcPr>
            <w:tcW w:w="23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277"/>
        </w:trPr>
        <w:tc>
          <w:tcPr>
            <w:tcW w:w="7660" w:type="dxa"/>
            <w:vAlign w:val="bottom"/>
            <w:gridSpan w:val="5"/>
          </w:tcPr>
          <w:p>
            <w:pPr>
              <w:jc w:val="center"/>
              <w:ind w:left="822"/>
              <w:spacing w:after="0"/>
              <w:rPr>
                <w:sz w:val="20"/>
                <w:szCs w:val="20"/>
                <w:color w:val="auto"/>
              </w:rPr>
            </w:pPr>
            <w:r>
              <w:rPr>
                <w:rFonts w:ascii="Times New Roman" w:cs="Times New Roman" w:eastAsia="Times New Roman" w:hAnsi="Times New Roman"/>
                <w:sz w:val="18"/>
                <w:szCs w:val="18"/>
                <w:b w:val="1"/>
                <w:bCs w:val="1"/>
                <w:color w:val="auto"/>
              </w:rPr>
              <w:t>Commission file number 0-23621</w:t>
            </w:r>
          </w:p>
        </w:tc>
      </w:tr>
      <w:tr>
        <w:trPr>
          <w:trHeight w:val="20"/>
        </w:trPr>
        <w:tc>
          <w:tcPr>
            <w:tcW w:w="496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611"/>
        </w:trPr>
        <w:tc>
          <w:tcPr>
            <w:tcW w:w="5360" w:type="dxa"/>
            <w:vAlign w:val="bottom"/>
            <w:gridSpan w:val="3"/>
          </w:tcPr>
          <w:p>
            <w:pPr>
              <w:jc w:val="center"/>
              <w:ind w:left="3102"/>
              <w:spacing w:after="0"/>
              <w:rPr>
                <w:sz w:val="20"/>
                <w:szCs w:val="20"/>
                <w:color w:val="auto"/>
              </w:rPr>
            </w:pPr>
            <w:r>
              <w:rPr>
                <w:rFonts w:ascii="Times New Roman" w:cs="Times New Roman" w:eastAsia="Times New Roman" w:hAnsi="Times New Roman"/>
                <w:sz w:val="43"/>
                <w:szCs w:val="43"/>
                <w:b w:val="1"/>
                <w:bCs w:val="1"/>
                <w:color w:val="auto"/>
              </w:rPr>
              <w:t>MKS INC.</w:t>
            </w:r>
          </w:p>
        </w:tc>
        <w:tc>
          <w:tcPr>
            <w:tcW w:w="20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60"/>
        </w:trPr>
        <w:tc>
          <w:tcPr>
            <w:tcW w:w="7660" w:type="dxa"/>
            <w:vAlign w:val="bottom"/>
            <w:gridSpan w:val="5"/>
          </w:tcPr>
          <w:p>
            <w:pPr>
              <w:jc w:val="center"/>
              <w:ind w:left="822"/>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r>
      <w:tr>
        <w:trPr>
          <w:trHeight w:val="272"/>
        </w:trPr>
        <w:tc>
          <w:tcPr>
            <w:tcW w:w="5360" w:type="dxa"/>
            <w:vAlign w:val="bottom"/>
            <w:gridSpan w:val="3"/>
          </w:tcPr>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Massachusetts</w:t>
            </w:r>
          </w:p>
        </w:tc>
        <w:tc>
          <w:tcPr>
            <w:tcW w:w="23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b w:val="1"/>
                <w:bCs w:val="1"/>
                <w:color w:val="auto"/>
              </w:rPr>
              <w:t>04-2277512</w:t>
            </w:r>
          </w:p>
        </w:tc>
      </w:tr>
      <w:tr>
        <w:trPr>
          <w:trHeight w:val="148"/>
        </w:trPr>
        <w:tc>
          <w:tcPr>
            <w:tcW w:w="5360" w:type="dxa"/>
            <w:vAlign w:val="bottom"/>
            <w:gridSpan w:val="3"/>
          </w:tcPr>
          <w:p>
            <w:pPr>
              <w:jc w:val="center"/>
              <w:ind w:right="240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00" w:type="dxa"/>
            <w:vAlign w:val="bottom"/>
          </w:tcPr>
          <w:p>
            <w:pPr>
              <w:spacing w:after="0"/>
              <w:rPr>
                <w:sz w:val="12"/>
                <w:szCs w:val="12"/>
                <w:color w:val="auto"/>
              </w:rPr>
            </w:pPr>
          </w:p>
        </w:tc>
        <w:tc>
          <w:tcPr>
            <w:tcW w:w="2100" w:type="dxa"/>
            <w:vAlign w:val="bottom"/>
          </w:tcPr>
          <w:p>
            <w:pPr>
              <w:jc w:val="center"/>
              <w:ind w:left="90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360" w:type="dxa"/>
            <w:vAlign w:val="bottom"/>
            <w:gridSpan w:val="3"/>
          </w:tcPr>
          <w:p>
            <w:pPr>
              <w:jc w:val="center"/>
              <w:ind w:right="2400"/>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200" w:type="dxa"/>
            <w:vAlign w:val="bottom"/>
          </w:tcPr>
          <w:p>
            <w:pPr>
              <w:spacing w:after="0"/>
              <w:rPr>
                <w:sz w:val="16"/>
                <w:szCs w:val="16"/>
                <w:color w:val="auto"/>
              </w:rPr>
            </w:pPr>
          </w:p>
        </w:tc>
        <w:tc>
          <w:tcPr>
            <w:tcW w:w="2100" w:type="dxa"/>
            <w:vAlign w:val="bottom"/>
          </w:tcPr>
          <w:p>
            <w:pPr>
              <w:jc w:val="center"/>
              <w:ind w:left="88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55"/>
        </w:trPr>
        <w:tc>
          <w:tcPr>
            <w:tcW w:w="5360" w:type="dxa"/>
            <w:vAlign w:val="bottom"/>
            <w:gridSpan w:val="3"/>
          </w:tcPr>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2 Tech Drive, Andover, Massachusetts</w:t>
            </w:r>
          </w:p>
        </w:tc>
        <w:tc>
          <w:tcPr>
            <w:tcW w:w="230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b w:val="1"/>
                <w:bCs w:val="1"/>
                <w:color w:val="auto"/>
              </w:rPr>
              <w:t>01810</w:t>
            </w:r>
          </w:p>
        </w:tc>
      </w:tr>
      <w:tr>
        <w:trPr>
          <w:trHeight w:val="190"/>
        </w:trPr>
        <w:tc>
          <w:tcPr>
            <w:tcW w:w="5360" w:type="dxa"/>
            <w:vAlign w:val="bottom"/>
            <w:gridSpan w:val="3"/>
          </w:tcPr>
          <w:p>
            <w:pPr>
              <w:jc w:val="center"/>
              <w:ind w:right="24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00" w:type="dxa"/>
            <w:vAlign w:val="bottom"/>
          </w:tcPr>
          <w:p>
            <w:pPr>
              <w:spacing w:after="0"/>
              <w:rPr>
                <w:sz w:val="16"/>
                <w:szCs w:val="16"/>
                <w:color w:val="auto"/>
              </w:rPr>
            </w:pPr>
          </w:p>
        </w:tc>
        <w:tc>
          <w:tcPr>
            <w:tcW w:w="2100" w:type="dxa"/>
            <w:vAlign w:val="bottom"/>
          </w:tcPr>
          <w:p>
            <w:pPr>
              <w:jc w:val="center"/>
              <w:ind w:left="888"/>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(978) 645-5500</w:t>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tcPr>
          <w:p>
            <w:pPr>
              <w:spacing w:after="0"/>
              <w:rPr>
                <w:sz w:val="20"/>
                <w:szCs w:val="20"/>
                <w:color w:val="auto"/>
              </w:rPr>
            </w:pPr>
          </w:p>
        </w:tc>
      </w:tr>
      <w:tr>
        <w:trPr>
          <w:trHeight w:val="297"/>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40" w:type="dxa"/>
            <w:vAlign w:val="bottom"/>
          </w:tcPr>
          <w:p>
            <w:pPr>
              <w:spacing w:after="0"/>
              <w:rPr>
                <w:sz w:val="24"/>
                <w:szCs w:val="24"/>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120" w:type="dxa"/>
            <w:vAlign w:val="bottom"/>
          </w:tcPr>
          <w:p>
            <w:pPr>
              <w:spacing w:after="0"/>
              <w:rPr>
                <w:sz w:val="24"/>
                <w:szCs w:val="24"/>
                <w:color w:val="auto"/>
              </w:rPr>
            </w:pPr>
          </w:p>
        </w:tc>
        <w:tc>
          <w:tcPr>
            <w:tcW w:w="4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no par value</w:t>
            </w:r>
          </w:p>
        </w:tc>
        <w:tc>
          <w:tcPr>
            <w:tcW w:w="14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MKSI</w:t>
            </w:r>
          </w:p>
        </w:tc>
        <w:tc>
          <w:tcPr>
            <w:tcW w:w="120" w:type="dxa"/>
            <w:vAlign w:val="bottom"/>
          </w:tcPr>
          <w:p>
            <w:pPr>
              <w:spacing w:after="0"/>
              <w:rPr>
                <w:sz w:val="19"/>
                <w:szCs w:val="19"/>
                <w:color w:val="auto"/>
              </w:rPr>
            </w:pP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58" w:lineRule="exact"/>
        <w:rPr>
          <w:sz w:val="24"/>
          <w:szCs w:val="24"/>
          <w:color w:val="auto"/>
        </w:rPr>
      </w:pPr>
    </w:p>
    <w:p>
      <w:pPr>
        <w:jc w:val="both"/>
        <w:ind w:right="60"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40"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257"/>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2840"/>
              <w:spacing w:after="0"/>
              <w:rPr>
                <w:sz w:val="20"/>
                <w:szCs w:val="20"/>
                <w:color w:val="auto"/>
              </w:rPr>
            </w:pPr>
            <w:r>
              <w:rPr>
                <w:rFonts w:ascii="Times New Roman" w:cs="Times New Roman" w:eastAsia="Times New Roman" w:hAnsi="Times New Roman"/>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28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5300" w:type="dxa"/>
            <w:vAlign w:val="bottom"/>
          </w:tcPr>
          <w:p>
            <w:pPr>
              <w:ind w:left="2840"/>
              <w:spacing w:after="0"/>
              <w:rPr>
                <w:sz w:val="20"/>
                <w:szCs w:val="20"/>
                <w:color w:val="auto"/>
              </w:rPr>
            </w:pPr>
            <w:r>
              <w:rPr>
                <w:rFonts w:ascii="Times New Roman" w:cs="Times New Roman" w:eastAsia="Times New Roman" w:hAnsi="Times New Roman"/>
                <w:sz w:val="18"/>
                <w:szCs w:val="18"/>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5" w:lineRule="exact"/>
        <w:rPr>
          <w:sz w:val="24"/>
          <w:szCs w:val="24"/>
          <w:color w:val="auto"/>
        </w:rPr>
      </w:pPr>
    </w:p>
    <w:p>
      <w:pPr>
        <w:ind w:right="300" w:firstLine="509"/>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20" w:right="1180"/>
        <w:spacing w:after="0" w:line="27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October 27, 2026, the registrant had 67,620,475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887730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color w:val="auto"/>
        </w:rPr>
        <w:t>MKS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INDEX</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FF"/>
                <w:w w:val="99"/>
              </w:rPr>
              <w:t>PART I. FINANCIAL INFORMATION</w:t>
            </w:r>
          </w:p>
        </w:tc>
        <w:tc>
          <w:tcPr>
            <w:tcW w:w="7640" w:type="dxa"/>
            <w:vAlign w:val="bottom"/>
            <w:gridSpan w:val="11"/>
          </w:tcPr>
          <w:p>
            <w:pPr>
              <w:spacing w:after="0"/>
              <w:rPr>
                <w:sz w:val="17"/>
                <w:szCs w:val="17"/>
                <w:color w:val="auto"/>
              </w:rPr>
            </w:pPr>
          </w:p>
        </w:tc>
        <w:tc>
          <w:tcPr>
            <w:tcW w:w="660" w:type="dxa"/>
            <w:vAlign w:val="bottom"/>
          </w:tcPr>
          <w:p>
            <w:pPr>
              <w:spacing w:after="0"/>
              <w:rPr>
                <w:sz w:val="17"/>
                <w:szCs w:val="17"/>
                <w:color w:val="auto"/>
              </w:rPr>
            </w:pPr>
          </w:p>
        </w:tc>
      </w:tr>
      <w:tr>
        <w:trPr>
          <w:trHeight w:val="318"/>
        </w:trPr>
        <w:tc>
          <w:tcPr>
            <w:tcW w:w="1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0000FF"/>
              </w:rPr>
              <w:t>ITEM 1.</w:t>
            </w:r>
          </w:p>
        </w:tc>
        <w:tc>
          <w:tcPr>
            <w:tcW w:w="90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18"/>
        </w:trPr>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Balance Sheets – September 30, 2026 and December 31, 2025</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18"/>
        </w:trPr>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8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Income (Loss) – Three and Nine Months Ended</w:t>
            </w:r>
          </w:p>
        </w:tc>
        <w:tc>
          <w:tcPr>
            <w:tcW w:w="320" w:type="dxa"/>
            <w:vAlign w:val="bottom"/>
            <w:gridSpan w:val="2"/>
          </w:tcPr>
          <w:p>
            <w:pPr>
              <w:spacing w:after="0"/>
              <w:rPr>
                <w:sz w:val="24"/>
                <w:szCs w:val="24"/>
                <w:color w:val="auto"/>
              </w:rPr>
            </w:pPr>
          </w:p>
        </w:tc>
        <w:tc>
          <w:tcPr>
            <w:tcW w:w="66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September 30, 2026 and 2025</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18"/>
        </w:trPr>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 – Three and Nine Months Ended September 30, 2026 and 2025</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18"/>
        </w:trPr>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 Nine Months Ended September 30, 2026 and 2025</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18"/>
        </w:trPr>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2740" w:type="dxa"/>
            <w:vAlign w:val="bottom"/>
            <w:tcBorders>
              <w:top w:val="single" w:sz="8" w:color="0000EE"/>
            </w:tcBorders>
            <w:gridSpan w:val="3"/>
          </w:tcPr>
          <w:p>
            <w:pPr>
              <w:spacing w:after="0"/>
              <w:rPr>
                <w:sz w:val="24"/>
                <w:szCs w:val="24"/>
                <w:color w:val="auto"/>
              </w:rPr>
            </w:pPr>
          </w:p>
        </w:tc>
        <w:tc>
          <w:tcPr>
            <w:tcW w:w="1460" w:type="dxa"/>
            <w:vAlign w:val="bottom"/>
            <w:gridSpan w:val="3"/>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18"/>
        </w:trPr>
        <w:tc>
          <w:tcPr>
            <w:tcW w:w="1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0000FF"/>
              </w:rPr>
              <w:t>ITEM 2.</w:t>
            </w:r>
          </w:p>
        </w:tc>
        <w:tc>
          <w:tcPr>
            <w:tcW w:w="898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18"/>
        </w:trPr>
        <w:tc>
          <w:tcPr>
            <w:tcW w:w="1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0000FF"/>
              </w:rPr>
              <w:t>ITEM 3.</w:t>
            </w:r>
          </w:p>
        </w:tc>
        <w:tc>
          <w:tcPr>
            <w:tcW w:w="62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780" w:type="dxa"/>
            <w:vAlign w:val="bottom"/>
            <w:gridSpan w:val="5"/>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18"/>
        </w:trPr>
        <w:tc>
          <w:tcPr>
            <w:tcW w:w="1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0000FF"/>
              </w:rPr>
              <w:t>ITEM 4.</w:t>
            </w:r>
          </w:p>
        </w:tc>
        <w:tc>
          <w:tcPr>
            <w:tcW w:w="90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400" w:type="dxa"/>
            <w:vAlign w:val="bottom"/>
            <w:gridSpan w:val="8"/>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18"/>
        </w:trPr>
        <w:tc>
          <w:tcPr>
            <w:tcW w:w="105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660" w:type="dxa"/>
            <w:vAlign w:val="bottom"/>
          </w:tcPr>
          <w:p>
            <w:pPr>
              <w:spacing w:after="0"/>
              <w:rPr>
                <w:sz w:val="24"/>
                <w:szCs w:val="24"/>
                <w:color w:val="auto"/>
              </w:rPr>
            </w:pPr>
          </w:p>
        </w:tc>
      </w:tr>
      <w:tr>
        <w:trPr>
          <w:trHeight w:val="20"/>
        </w:trPr>
        <w:tc>
          <w:tcPr>
            <w:tcW w:w="1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080" w:type="dxa"/>
            <w:vAlign w:val="bottom"/>
            <w:gridSpan w:val="1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18"/>
        </w:trPr>
        <w:tc>
          <w:tcPr>
            <w:tcW w:w="1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0000FF"/>
              </w:rPr>
              <w:t>ITEM 1A.</w:t>
            </w:r>
          </w:p>
        </w:tc>
        <w:tc>
          <w:tcPr>
            <w:tcW w:w="12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7720" w:type="dxa"/>
            <w:vAlign w:val="bottom"/>
            <w:gridSpan w:val="12"/>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18"/>
        </w:trPr>
        <w:tc>
          <w:tcPr>
            <w:tcW w:w="1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0000FF"/>
              </w:rPr>
              <w:t>ITEM 5.</w:t>
            </w:r>
          </w:p>
        </w:tc>
        <w:tc>
          <w:tcPr>
            <w:tcW w:w="19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FF"/>
                <w:w w:val="99"/>
              </w:rPr>
              <w:t>OTHER INFORMATION</w:t>
            </w:r>
          </w:p>
        </w:tc>
        <w:tc>
          <w:tcPr>
            <w:tcW w:w="7080" w:type="dxa"/>
            <w:vAlign w:val="bottom"/>
            <w:gridSpan w:val="10"/>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18"/>
        </w:trPr>
        <w:tc>
          <w:tcPr>
            <w:tcW w:w="1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0000FF"/>
              </w:rPr>
              <w:t>ITEM 6.</w:t>
            </w:r>
          </w:p>
        </w:tc>
        <w:tc>
          <w:tcPr>
            <w:tcW w:w="90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EXHIBITS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18"/>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8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628"/>
        </w:trPr>
        <w:tc>
          <w:tcPr>
            <w:tcW w:w="112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4800" w:type="dxa"/>
            <w:vAlign w:val="bottom"/>
            <w:gridSpan w:val="9"/>
          </w:tcPr>
          <w:p>
            <w:pPr>
              <w:ind w:left="4000"/>
              <w:spacing w:after="0"/>
              <w:rPr>
                <w:sz w:val="20"/>
                <w:szCs w:val="20"/>
                <w:color w:val="auto"/>
              </w:rPr>
            </w:pPr>
            <w:r>
              <w:rPr>
                <w:rFonts w:ascii="Times New Roman" w:cs="Times New Roman" w:eastAsia="Times New Roman" w:hAnsi="Times New Roman"/>
                <w:sz w:val="18"/>
                <w:szCs w:val="18"/>
                <w:color w:val="auto"/>
              </w:rPr>
              <w:t>2</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763"/>
        </w:trPr>
        <w:tc>
          <w:tcPr>
            <w:tcW w:w="1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PART I. FINANCIAL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MKS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640" w:type="dxa"/>
            <w:vAlign w:val="bottom"/>
          </w:tcPr>
          <w:p>
            <w:pPr>
              <w:ind w:left="32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9"/>
                <w:szCs w:val="19"/>
                <w:color w:val="auto"/>
              </w:rPr>
            </w:pP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September 30, 2026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December 31, 2025</w:t>
            </w:r>
          </w:p>
        </w:tc>
      </w:tr>
      <w:tr>
        <w:trPr>
          <w:trHeight w:val="210"/>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676</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675</w:t>
            </w:r>
          </w:p>
        </w:tc>
      </w:tr>
      <w:tr>
        <w:trPr>
          <w:trHeight w:val="198"/>
        </w:trPr>
        <w:tc>
          <w:tcPr>
            <w:tcW w:w="76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Trade accounts receivable, net of allowance for doubtful accounts of $6 and $5 at September 30,</w:t>
            </w: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2026 and December 31, 2025, respectively</w:t>
            </w:r>
          </w:p>
        </w:tc>
        <w:tc>
          <w:tcPr>
            <w:tcW w:w="12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902</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651</w:t>
            </w: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921</w:t>
            </w:r>
          </w:p>
        </w:tc>
      </w:tr>
      <w:tr>
        <w:trPr>
          <w:trHeight w:val="216"/>
        </w:trPr>
        <w:tc>
          <w:tcPr>
            <w:tcW w:w="76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2,510</w:t>
            </w:r>
          </w:p>
        </w:tc>
      </w:tr>
      <w:tr>
        <w:trPr>
          <w:trHeight w:val="216"/>
        </w:trPr>
        <w:tc>
          <w:tcPr>
            <w:tcW w:w="7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820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810</w:t>
            </w: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2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259</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270</w:t>
            </w: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2,574</w:t>
            </w: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2,140</w:t>
            </w: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20" w:type="dxa"/>
            <w:vAlign w:val="bottom"/>
          </w:tcPr>
          <w:p>
            <w:pPr>
              <w:spacing w:after="0"/>
              <w:rPr>
                <w:sz w:val="18"/>
                <w:szCs w:val="18"/>
                <w:color w:val="auto"/>
              </w:rPr>
            </w:pPr>
          </w:p>
        </w:tc>
      </w:tr>
      <w:tr>
        <w:trPr>
          <w:trHeight w:val="249"/>
        </w:trPr>
        <w:tc>
          <w:tcPr>
            <w:tcW w:w="7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9,232</w:t>
            </w:r>
          </w:p>
        </w:tc>
        <w:tc>
          <w:tcPr>
            <w:tcW w:w="280" w:type="dxa"/>
            <w:vAlign w:val="bottom"/>
            <w:shd w:val="clear" w:color="auto" w:fill="CFF0FC"/>
          </w:tcPr>
          <w:p>
            <w:pPr>
              <w:spacing w:after="0"/>
              <w:rPr>
                <w:sz w:val="21"/>
                <w:szCs w:val="21"/>
                <w:color w:val="auto"/>
              </w:rPr>
            </w:pPr>
          </w:p>
        </w:tc>
        <w:tc>
          <w:tcPr>
            <w:tcW w:w="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8,796</w:t>
            </w:r>
          </w:p>
        </w:tc>
      </w:tr>
      <w:tr>
        <w:trPr>
          <w:trHeight w:val="197"/>
        </w:trPr>
        <w:tc>
          <w:tcPr>
            <w:tcW w:w="764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16"/>
        </w:trPr>
        <w:tc>
          <w:tcPr>
            <w:tcW w:w="7640" w:type="dxa"/>
            <w:vAlign w:val="bottom"/>
            <w:shd w:val="clear" w:color="auto" w:fill="CFF0FC"/>
          </w:tcPr>
          <w:p>
            <w:pPr>
              <w:ind w:left="16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Short-term debt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28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591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407</w:t>
            </w:r>
          </w:p>
        </w:tc>
      </w:tr>
      <w:tr>
        <w:trPr>
          <w:trHeight w:val="216"/>
        </w:trPr>
        <w:tc>
          <w:tcPr>
            <w:tcW w:w="76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927</w:t>
            </w:r>
          </w:p>
        </w:tc>
      </w:tr>
      <w:tr>
        <w:trPr>
          <w:trHeight w:val="216"/>
        </w:trPr>
        <w:tc>
          <w:tcPr>
            <w:tcW w:w="7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4,150</w:t>
            </w: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deferred taxes</w:t>
            </w:r>
          </w:p>
        </w:tc>
        <w:tc>
          <w:tcPr>
            <w:tcW w:w="12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430</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474</w:t>
            </w: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Non-current accrued compensation</w:t>
            </w:r>
          </w:p>
        </w:tc>
        <w:tc>
          <w:tcPr>
            <w:tcW w:w="12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12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238</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246</w:t>
            </w: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18"/>
                <w:szCs w:val="18"/>
                <w:color w:val="auto"/>
              </w:rPr>
            </w:pPr>
          </w:p>
        </w:tc>
      </w:tr>
      <w:tr>
        <w:trPr>
          <w:trHeight w:val="210"/>
        </w:trPr>
        <w:tc>
          <w:tcPr>
            <w:tcW w:w="7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5,946</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6,077</w:t>
            </w:r>
          </w:p>
        </w:tc>
      </w:tr>
      <w:tr>
        <w:trPr>
          <w:trHeight w:val="209"/>
        </w:trPr>
        <w:tc>
          <w:tcPr>
            <w:tcW w:w="76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Commitments and contingencies (Note 17)</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 $0.01 par value, 2 shares authorized; no shares issued and outstanding</w:t>
            </w:r>
          </w:p>
        </w:tc>
        <w:tc>
          <w:tcPr>
            <w:tcW w:w="12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6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no par value, 200 shares authorized; 67.6 and 67.2 shares issued and outstanding</w:t>
            </w: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at September 30, 2026 and December 31, 2025, respectively</w:t>
            </w:r>
          </w:p>
        </w:tc>
        <w:tc>
          <w:tcPr>
            <w:tcW w:w="12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2,101</w:t>
            </w: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711</w:t>
            </w: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w:t>
            </w:r>
          </w:p>
        </w:tc>
      </w:tr>
      <w:tr>
        <w:trPr>
          <w:trHeight w:val="210"/>
        </w:trPr>
        <w:tc>
          <w:tcPr>
            <w:tcW w:w="76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9,232</w:t>
            </w:r>
          </w:p>
        </w:tc>
        <w:tc>
          <w:tcPr>
            <w:tcW w:w="28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8,796</w:t>
            </w:r>
          </w:p>
        </w:tc>
      </w:tr>
      <w:tr>
        <w:trPr>
          <w:trHeight w:val="20"/>
        </w:trPr>
        <w:tc>
          <w:tcPr>
            <w:tcW w:w="7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-4500245</wp:posOffset>
            </wp:positionV>
            <wp:extent cx="685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-4500245</wp:posOffset>
            </wp:positionV>
            <wp:extent cx="77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-3385820</wp:posOffset>
            </wp:positionV>
            <wp:extent cx="68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-3368040</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-3385820</wp:posOffset>
            </wp:positionV>
            <wp:extent cx="77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-3368040</wp:posOffset>
            </wp:positionV>
            <wp:extent cx="77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-2536825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-2536825</wp:posOffset>
            </wp:positionV>
            <wp:extent cx="77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-1422400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-1422400</wp:posOffset>
            </wp:positionV>
            <wp:extent cx="77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-170815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MKS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16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color w:val="auto"/>
              </w:rPr>
              <w:t>Three Months Ended</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8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171"/>
        </w:trPr>
        <w:tc>
          <w:tcPr>
            <w:tcW w:w="5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4"/>
                <w:szCs w:val="14"/>
                <w:color w:val="auto"/>
              </w:rPr>
              <w:t>September 30,</w:t>
            </w:r>
          </w:p>
        </w:tc>
        <w:tc>
          <w:tcPr>
            <w:tcW w:w="3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4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3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40"/>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79"/>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r>
      <w:tr>
        <w:trPr>
          <w:trHeight w:val="19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revenues:</w:t>
            </w:r>
          </w:p>
        </w:tc>
        <w:tc>
          <w:tcPr>
            <w:tcW w:w="5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Products</w:t>
            </w:r>
          </w:p>
        </w:tc>
        <w:tc>
          <w:tcPr>
            <w:tcW w:w="1260" w:type="dxa"/>
            <w:vAlign w:val="bottom"/>
            <w:gridSpan w:val="2"/>
          </w:tcPr>
          <w:p>
            <w:pPr>
              <w:jc w:val="right"/>
              <w:ind w:right="585"/>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1,264</w:t>
            </w:r>
          </w:p>
        </w:tc>
        <w:tc>
          <w:tcPr>
            <w:tcW w:w="260" w:type="dxa"/>
            <w:vAlign w:val="bottom"/>
          </w:tcPr>
          <w:p>
            <w:pPr>
              <w:spacing w:after="0"/>
              <w:rPr>
                <w:sz w:val="17"/>
                <w:szCs w:val="17"/>
                <w:color w:val="auto"/>
              </w:rPr>
            </w:pPr>
          </w:p>
        </w:tc>
        <w:tc>
          <w:tcPr>
            <w:tcW w:w="760" w:type="dxa"/>
            <w:vAlign w:val="bottom"/>
          </w:tcPr>
          <w:p>
            <w:pPr>
              <w:jc w:val="right"/>
              <w:ind w:right="600"/>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w:t>
            </w:r>
          </w:p>
        </w:tc>
        <w:tc>
          <w:tcPr>
            <w:tcW w:w="220" w:type="dxa"/>
            <w:vAlign w:val="bottom"/>
          </w:tcPr>
          <w:p>
            <w:pPr>
              <w:spacing w:after="0"/>
              <w:rPr>
                <w:sz w:val="17"/>
                <w:szCs w:val="17"/>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3,322</w:t>
            </w:r>
          </w:p>
        </w:tc>
        <w:tc>
          <w:tcPr>
            <w:tcW w:w="140" w:type="dxa"/>
            <w:vAlign w:val="bottom"/>
          </w:tcPr>
          <w:p>
            <w:pPr>
              <w:spacing w:after="0"/>
              <w:rPr>
                <w:sz w:val="17"/>
                <w:szCs w:val="17"/>
                <w:color w:val="auto"/>
              </w:rPr>
            </w:pPr>
          </w:p>
        </w:tc>
        <w:tc>
          <w:tcPr>
            <w:tcW w:w="4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2,528</w:t>
            </w:r>
          </w:p>
        </w:tc>
        <w:tc>
          <w:tcPr>
            <w:tcW w:w="100" w:type="dxa"/>
            <w:vAlign w:val="bottom"/>
          </w:tcPr>
          <w:p>
            <w:pPr>
              <w:spacing w:after="0"/>
              <w:rPr>
                <w:sz w:val="17"/>
                <w:szCs w:val="17"/>
                <w:color w:val="auto"/>
              </w:rPr>
            </w:pPr>
          </w:p>
        </w:tc>
      </w:tr>
      <w:tr>
        <w:trPr>
          <w:trHeight w:val="203"/>
        </w:trPr>
        <w:tc>
          <w:tcPr>
            <w:tcW w:w="53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Services</w:t>
            </w:r>
          </w:p>
        </w:tc>
        <w:tc>
          <w:tcPr>
            <w:tcW w:w="52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26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Total net revenues</w:t>
            </w: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1,413</w:t>
            </w: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2,898</w:t>
            </w:r>
          </w:p>
        </w:tc>
        <w:tc>
          <w:tcPr>
            <w:tcW w:w="100" w:type="dxa"/>
            <w:vAlign w:val="bottom"/>
          </w:tcPr>
          <w:p>
            <w:pPr>
              <w:spacing w:after="0"/>
              <w:rPr>
                <w:sz w:val="17"/>
                <w:szCs w:val="17"/>
                <w:color w:val="auto"/>
              </w:rPr>
            </w:pPr>
          </w:p>
        </w:tc>
      </w:tr>
      <w:tr>
        <w:trPr>
          <w:trHeight w:val="203"/>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5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Products</w:t>
            </w: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1,367</w:t>
            </w:r>
          </w:p>
        </w:tc>
        <w:tc>
          <w:tcPr>
            <w:tcW w:w="100" w:type="dxa"/>
            <w:vAlign w:val="bottom"/>
          </w:tcPr>
          <w:p>
            <w:pPr>
              <w:spacing w:after="0"/>
              <w:rPr>
                <w:sz w:val="17"/>
                <w:szCs w:val="17"/>
                <w:color w:val="auto"/>
              </w:rPr>
            </w:pPr>
          </w:p>
        </w:tc>
      </w:tr>
      <w:tr>
        <w:trPr>
          <w:trHeight w:val="203"/>
        </w:trPr>
        <w:tc>
          <w:tcPr>
            <w:tcW w:w="53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Services</w:t>
            </w:r>
          </w:p>
        </w:tc>
        <w:tc>
          <w:tcPr>
            <w:tcW w:w="52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26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Total cost of revenues (exclusive of amortization shown separately below)</w:t>
            </w:r>
          </w:p>
        </w:tc>
        <w:tc>
          <w:tcPr>
            <w:tcW w:w="52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26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1,540</w:t>
            </w:r>
          </w:p>
        </w:tc>
        <w:tc>
          <w:tcPr>
            <w:tcW w:w="100" w:type="dxa"/>
            <w:vAlign w:val="bottom"/>
          </w:tcPr>
          <w:p>
            <w:pPr>
              <w:spacing w:after="0"/>
              <w:rPr>
                <w:sz w:val="17"/>
                <w:szCs w:val="17"/>
                <w:color w:val="auto"/>
              </w:rPr>
            </w:pPr>
          </w:p>
        </w:tc>
      </w:tr>
      <w:tr>
        <w:trPr>
          <w:trHeight w:val="19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5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2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1,776</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1,358</w:t>
            </w:r>
          </w:p>
        </w:tc>
        <w:tc>
          <w:tcPr>
            <w:tcW w:w="100" w:type="dxa"/>
            <w:vAlign w:val="bottom"/>
            <w:shd w:val="clear" w:color="auto" w:fill="CFF0FC"/>
          </w:tcPr>
          <w:p>
            <w:pPr>
              <w:spacing w:after="0"/>
              <w:rPr>
                <w:sz w:val="17"/>
                <w:szCs w:val="17"/>
                <w:color w:val="auto"/>
              </w:rPr>
            </w:pPr>
          </w:p>
        </w:tc>
      </w:tr>
      <w:tr>
        <w:trPr>
          <w:trHeight w:val="203"/>
        </w:trPr>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tcPr>
          <w:p>
            <w:pPr>
              <w:spacing w:after="0"/>
              <w:rPr>
                <w:sz w:val="17"/>
                <w:szCs w:val="17"/>
                <w:color w:val="auto"/>
              </w:rPr>
            </w:pPr>
          </w:p>
        </w:tc>
      </w:tr>
      <w:tr>
        <w:trPr>
          <w:trHeight w:val="203"/>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5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2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100" w:type="dxa"/>
            <w:vAlign w:val="bottom"/>
            <w:shd w:val="clear" w:color="auto" w:fill="CFF0FC"/>
          </w:tcPr>
          <w:p>
            <w:pPr>
              <w:spacing w:after="0"/>
              <w:rPr>
                <w:sz w:val="17"/>
                <w:szCs w:val="17"/>
                <w:color w:val="auto"/>
              </w:rPr>
            </w:pPr>
          </w:p>
        </w:tc>
      </w:tr>
      <w:tr>
        <w:trPr>
          <w:trHeight w:val="203"/>
        </w:trPr>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Restructuring and other</w:t>
            </w: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7"/>
                <w:szCs w:val="17"/>
                <w:color w:val="auto"/>
              </w:rPr>
            </w:pPr>
          </w:p>
        </w:tc>
      </w:tr>
      <w:tr>
        <w:trPr>
          <w:trHeight w:val="202"/>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Legal settlement</w:t>
            </w:r>
          </w:p>
        </w:tc>
        <w:tc>
          <w:tcPr>
            <w:tcW w:w="5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Fees and expenses related to debt activities</w:t>
            </w: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spacing w:after="0"/>
              <w:rPr>
                <w:sz w:val="17"/>
                <w:szCs w:val="17"/>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r>
      <w:tr>
        <w:trPr>
          <w:trHeight w:val="203"/>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52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26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Income from operations</w:t>
            </w: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00" w:type="dxa"/>
            <w:vAlign w:val="bottom"/>
          </w:tcPr>
          <w:p>
            <w:pPr>
              <w:spacing w:after="0"/>
              <w:rPr>
                <w:sz w:val="17"/>
                <w:szCs w:val="17"/>
                <w:color w:val="auto"/>
              </w:rPr>
            </w:pPr>
          </w:p>
        </w:tc>
      </w:tr>
      <w:tr>
        <w:trPr>
          <w:trHeight w:val="203"/>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5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w:t>
            </w:r>
          </w:p>
        </w:tc>
        <w:tc>
          <w:tcPr>
            <w:tcW w:w="76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w:t>
            </w:r>
          </w:p>
        </w:tc>
      </w:tr>
      <w:tr>
        <w:trPr>
          <w:trHeight w:val="203"/>
        </w:trPr>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tcPr>
          <w:p>
            <w:pPr>
              <w:spacing w:after="0"/>
              <w:rPr>
                <w:sz w:val="17"/>
                <w:szCs w:val="17"/>
                <w:color w:val="auto"/>
              </w:rPr>
            </w:pPr>
          </w:p>
        </w:tc>
      </w:tr>
      <w:tr>
        <w:trPr>
          <w:trHeight w:val="202"/>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5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FF0FC"/>
          </w:tcPr>
          <w:p>
            <w:pPr>
              <w:spacing w:after="0"/>
              <w:rPr>
                <w:sz w:val="17"/>
                <w:szCs w:val="17"/>
                <w:color w:val="auto"/>
              </w:rPr>
            </w:pPr>
          </w:p>
        </w:tc>
      </w:tr>
      <w:tr>
        <w:trPr>
          <w:trHeight w:val="203"/>
        </w:trPr>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w:t>
            </w:r>
          </w:p>
        </w:tc>
        <w:tc>
          <w:tcPr>
            <w:tcW w:w="7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7"/>
                <w:szCs w:val="17"/>
                <w:color w:val="auto"/>
              </w:rPr>
            </w:pPr>
          </w:p>
        </w:tc>
      </w:tr>
      <w:tr>
        <w:trPr>
          <w:trHeight w:val="19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520" w:type="dxa"/>
            <w:vAlign w:val="bottom"/>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260" w:type="dxa"/>
            <w:vAlign w:val="bottom"/>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22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shd w:val="clear" w:color="auto" w:fill="CFF0FC"/>
          </w:tcPr>
          <w:p>
            <w:pPr>
              <w:spacing w:after="0"/>
              <w:rPr>
                <w:sz w:val="17"/>
                <w:szCs w:val="17"/>
                <w:color w:val="auto"/>
              </w:rPr>
            </w:pPr>
          </w:p>
        </w:tc>
      </w:tr>
      <w:tr>
        <w:trPr>
          <w:trHeight w:val="203"/>
        </w:trPr>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52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6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7"/>
                <w:szCs w:val="17"/>
                <w:color w:val="auto"/>
              </w:rPr>
            </w:pPr>
          </w:p>
        </w:tc>
      </w:tr>
      <w:tr>
        <w:trPr>
          <w:trHeight w:val="23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1260" w:type="dxa"/>
            <w:vAlign w:val="bottom"/>
            <w:gridSpan w:val="2"/>
            <w:shd w:val="clear" w:color="auto" w:fill="CFF0FC"/>
          </w:tcPr>
          <w:p>
            <w:pPr>
              <w:jc w:val="right"/>
              <w:ind w:right="585"/>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26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600"/>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14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shd w:val="clear" w:color="auto" w:fill="CFF0FC"/>
          </w:tcPr>
          <w:p>
            <w:pPr>
              <w:spacing w:after="0"/>
              <w:rPr>
                <w:sz w:val="20"/>
                <w:szCs w:val="20"/>
                <w:color w:val="auto"/>
              </w:rPr>
            </w:pPr>
          </w:p>
        </w:tc>
      </w:tr>
      <w:tr>
        <w:trPr>
          <w:trHeight w:val="183"/>
        </w:trPr>
        <w:tc>
          <w:tcPr>
            <w:tcW w:w="53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520" w:type="dxa"/>
            <w:vAlign w:val="bottom"/>
            <w:tcBorders>
              <w:top w:val="single" w:sz="8" w:color="CFF0FC"/>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18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Changes in value of financial instruments designated as cash flow</w:t>
            </w:r>
          </w:p>
        </w:tc>
        <w:tc>
          <w:tcPr>
            <w:tcW w:w="5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5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hedges</w:t>
            </w:r>
          </w:p>
        </w:tc>
        <w:tc>
          <w:tcPr>
            <w:tcW w:w="1260" w:type="dxa"/>
            <w:vAlign w:val="bottom"/>
            <w:gridSpan w:val="2"/>
            <w:shd w:val="clear" w:color="auto" w:fill="CFF0FC"/>
          </w:tcPr>
          <w:p>
            <w:pPr>
              <w:jc w:val="right"/>
              <w:ind w:right="585"/>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60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4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(28)</w:t>
            </w:r>
          </w:p>
        </w:tc>
      </w:tr>
      <w:tr>
        <w:trPr>
          <w:trHeight w:val="203"/>
        </w:trPr>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(23)</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tcPr>
          <w:p>
            <w:pPr>
              <w:spacing w:after="0"/>
              <w:rPr>
                <w:sz w:val="17"/>
                <w:szCs w:val="17"/>
                <w:color w:val="auto"/>
              </w:rPr>
            </w:pPr>
          </w:p>
        </w:tc>
      </w:tr>
      <w:tr>
        <w:trPr>
          <w:trHeight w:val="203"/>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 in net investment hedges</w:t>
            </w:r>
          </w:p>
        </w:tc>
        <w:tc>
          <w:tcPr>
            <w:tcW w:w="5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(60)</w:t>
            </w:r>
          </w:p>
        </w:tc>
      </w:tr>
      <w:tr>
        <w:trPr>
          <w:trHeight w:val="203"/>
        </w:trPr>
        <w:tc>
          <w:tcPr>
            <w:tcW w:w="5360" w:type="dxa"/>
            <w:vAlign w:val="bottom"/>
          </w:tcPr>
          <w:p>
            <w:pPr>
              <w:spacing w:after="0"/>
              <w:rPr>
                <w:sz w:val="20"/>
                <w:szCs w:val="20"/>
                <w:color w:val="auto"/>
              </w:rPr>
            </w:pPr>
            <w:r>
              <w:rPr>
                <w:rFonts w:ascii="Times New Roman" w:cs="Times New Roman" w:eastAsia="Times New Roman" w:hAnsi="Times New Roman"/>
                <w:sz w:val="16"/>
                <w:szCs w:val="16"/>
                <w:color w:val="auto"/>
              </w:rPr>
              <w:t>Unrecognized pension (loss) gain</w:t>
            </w: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7"/>
                <w:szCs w:val="17"/>
                <w:color w:val="auto"/>
              </w:rPr>
            </w:pPr>
          </w:p>
        </w:tc>
      </w:tr>
      <w:tr>
        <w:trPr>
          <w:trHeight w:val="20"/>
        </w:trPr>
        <w:tc>
          <w:tcPr>
            <w:tcW w:w="5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comprehensive income</w:t>
            </w:r>
          </w:p>
        </w:tc>
        <w:tc>
          <w:tcPr>
            <w:tcW w:w="52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585"/>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26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600"/>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14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shd w:val="clear" w:color="auto" w:fill="CFF0FC"/>
          </w:tcPr>
          <w:p>
            <w:pPr>
              <w:spacing w:after="0"/>
              <w:rPr>
                <w:sz w:val="20"/>
                <w:szCs w:val="20"/>
                <w:color w:val="auto"/>
              </w:rPr>
            </w:pPr>
          </w:p>
        </w:tc>
      </w:tr>
      <w:tr>
        <w:trPr>
          <w:trHeight w:val="183"/>
        </w:trPr>
        <w:tc>
          <w:tcPr>
            <w:tcW w:w="53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520" w:type="dxa"/>
            <w:vAlign w:val="bottom"/>
            <w:tcBorders>
              <w:top w:val="single" w:sz="8" w:color="CFF0FC"/>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03"/>
        </w:trPr>
        <w:tc>
          <w:tcPr>
            <w:tcW w:w="5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1260" w:type="dxa"/>
            <w:vAlign w:val="bottom"/>
            <w:gridSpan w:val="2"/>
            <w:shd w:val="clear" w:color="auto" w:fill="CFF0FC"/>
          </w:tcPr>
          <w:p>
            <w:pPr>
              <w:jc w:val="right"/>
              <w:ind w:right="585"/>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26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600"/>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14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shd w:val="clear" w:color="auto" w:fill="CFF0FC"/>
          </w:tcPr>
          <w:p>
            <w:pPr>
              <w:spacing w:after="0"/>
              <w:rPr>
                <w:sz w:val="17"/>
                <w:szCs w:val="17"/>
                <w:color w:val="auto"/>
              </w:rPr>
            </w:pPr>
          </w:p>
        </w:tc>
      </w:tr>
      <w:tr>
        <w:trPr>
          <w:trHeight w:val="203"/>
        </w:trPr>
        <w:tc>
          <w:tcPr>
            <w:tcW w:w="5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1260" w:type="dxa"/>
            <w:vAlign w:val="bottom"/>
            <w:gridSpan w:val="2"/>
          </w:tcPr>
          <w:p>
            <w:pPr>
              <w:jc w:val="right"/>
              <w:ind w:right="585"/>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260" w:type="dxa"/>
            <w:vAlign w:val="bottom"/>
          </w:tcPr>
          <w:p>
            <w:pPr>
              <w:spacing w:after="0"/>
              <w:rPr>
                <w:sz w:val="17"/>
                <w:szCs w:val="17"/>
                <w:color w:val="auto"/>
              </w:rPr>
            </w:pPr>
          </w:p>
        </w:tc>
        <w:tc>
          <w:tcPr>
            <w:tcW w:w="760" w:type="dxa"/>
            <w:vAlign w:val="bottom"/>
          </w:tcPr>
          <w:p>
            <w:pPr>
              <w:jc w:val="right"/>
              <w:ind w:right="600"/>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220" w:type="dxa"/>
            <w:vAlign w:val="bottom"/>
          </w:tcPr>
          <w:p>
            <w:pPr>
              <w:spacing w:after="0"/>
              <w:rPr>
                <w:sz w:val="17"/>
                <w:szCs w:val="17"/>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140" w:type="dxa"/>
            <w:vAlign w:val="bottom"/>
          </w:tcPr>
          <w:p>
            <w:pPr>
              <w:spacing w:after="0"/>
              <w:rPr>
                <w:sz w:val="17"/>
                <w:szCs w:val="17"/>
                <w:color w:val="auto"/>
              </w:rPr>
            </w:pPr>
          </w:p>
        </w:tc>
        <w:tc>
          <w:tcPr>
            <w:tcW w:w="4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tcPr>
          <w:p>
            <w:pPr>
              <w:spacing w:after="0"/>
              <w:rPr>
                <w:sz w:val="17"/>
                <w:szCs w:val="17"/>
                <w:color w:val="auto"/>
              </w:rPr>
            </w:pPr>
          </w:p>
        </w:tc>
      </w:tr>
      <w:tr>
        <w:trPr>
          <w:trHeight w:val="203"/>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5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100" w:type="dxa"/>
            <w:vAlign w:val="bottom"/>
          </w:tcPr>
          <w:p>
            <w:pPr>
              <w:spacing w:after="0"/>
              <w:rPr>
                <w:sz w:val="17"/>
                <w:szCs w:val="17"/>
                <w:color w:val="auto"/>
              </w:rPr>
            </w:pPr>
          </w:p>
        </w:tc>
      </w:tr>
      <w:tr>
        <w:trPr>
          <w:trHeight w:val="203"/>
        </w:trPr>
        <w:tc>
          <w:tcPr>
            <w:tcW w:w="5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5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2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-4354195</wp:posOffset>
            </wp:positionV>
            <wp:extent cx="768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-4354195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-4354195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-4354195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-3830955</wp:posOffset>
            </wp:positionV>
            <wp:extent cx="768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-3830955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-3830955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-3830955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-2785745</wp:posOffset>
            </wp:positionV>
            <wp:extent cx="768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-2785745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-2785745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-2785745</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-1731010</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-1713865</wp:posOffset>
            </wp:positionV>
            <wp:extent cx="76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-1731010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-1713865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-1731010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-1713865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-1731010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-796290</wp:posOffset>
            </wp:positionV>
            <wp:extent cx="768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-779145</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-796290</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-779145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-796290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-779145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MKS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Additional</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Accumulated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40" w:type="dxa"/>
            <w:vAlign w:val="bottom"/>
            <w:gridSpan w:val="5"/>
            <w:vMerge w:val="restart"/>
          </w:tcPr>
          <w:p>
            <w:pPr>
              <w:jc w:val="right"/>
              <w:ind w:right="496"/>
              <w:spacing w:after="0"/>
              <w:rPr>
                <w:sz w:val="20"/>
                <w:szCs w:val="20"/>
                <w:color w:val="auto"/>
              </w:rPr>
            </w:pPr>
            <w:r>
              <w:rPr>
                <w:rFonts w:ascii="Times New Roman" w:cs="Times New Roman" w:eastAsia="Times New Roman" w:hAnsi="Times New Roman"/>
                <w:sz w:val="14"/>
                <w:szCs w:val="14"/>
                <w:color w:val="auto"/>
              </w:rPr>
              <w:t>Common Stock</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Retained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40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5"/>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460"/>
              <w:spacing w:after="0" w:line="158" w:lineRule="exact"/>
              <w:rPr>
                <w:sz w:val="20"/>
                <w:szCs w:val="20"/>
                <w:color w:val="auto"/>
              </w:rPr>
            </w:pPr>
            <w:r>
              <w:rPr>
                <w:rFonts w:ascii="Times New Roman" w:cs="Times New Roman" w:eastAsia="Times New Roman" w:hAnsi="Times New Roman"/>
                <w:sz w:val="14"/>
                <w:szCs w:val="14"/>
                <w:color w:val="auto"/>
              </w:rPr>
              <w:t>Paid-In</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4"/>
                <w:szCs w:val="14"/>
                <w:color w:val="auto"/>
              </w:rPr>
              <w:t>Comprehensive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Shares</w:t>
            </w: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color w:val="auto"/>
              </w:rPr>
              <w:t>Amount</w:t>
            </w:r>
          </w:p>
        </w:tc>
        <w:tc>
          <w:tcPr>
            <w:tcW w:w="2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rPr>
              <w:t>Capital</w:t>
            </w: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Earnings</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28"/>
              <w:spacing w:after="0" w:line="142" w:lineRule="exact"/>
              <w:rPr>
                <w:sz w:val="20"/>
                <w:szCs w:val="20"/>
                <w:color w:val="auto"/>
              </w:rPr>
            </w:pPr>
            <w:r>
              <w:rPr>
                <w:rFonts w:ascii="Times New Roman" w:cs="Times New Roman" w:eastAsia="Times New Roman" w:hAnsi="Times New Roman"/>
                <w:sz w:val="14"/>
                <w:szCs w:val="14"/>
                <w:color w:val="auto"/>
              </w:rPr>
              <w:t>(Loss) Income</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48"/>
              <w:spacing w:after="0" w:line="142" w:lineRule="exact"/>
              <w:rPr>
                <w:sz w:val="20"/>
                <w:szCs w:val="20"/>
                <w:color w:val="auto"/>
              </w:rPr>
            </w:pPr>
            <w:r>
              <w:rPr>
                <w:rFonts w:ascii="Times New Roman" w:cs="Times New Roman" w:eastAsia="Times New Roman" w:hAnsi="Times New Roman"/>
                <w:sz w:val="14"/>
                <w:szCs w:val="14"/>
                <w:color w:val="auto"/>
              </w:rPr>
              <w:t>Equity</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6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31, 2025</w:t>
            </w:r>
          </w:p>
        </w:tc>
        <w:tc>
          <w:tcPr>
            <w:tcW w:w="3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67.2</w:t>
            </w:r>
          </w:p>
        </w:tc>
        <w:tc>
          <w:tcPr>
            <w:tcW w:w="100" w:type="dxa"/>
            <w:vAlign w:val="bottom"/>
            <w:tcBorders>
              <w:left w:val="single" w:sz="8" w:color="CFF0FC"/>
            </w:tcBorders>
            <w:shd w:val="clear" w:color="auto" w:fill="CFF0FC"/>
          </w:tcPr>
          <w:p>
            <w:pPr>
              <w:spacing w:after="0"/>
              <w:rPr>
                <w:sz w:val="12"/>
                <w:szCs w:val="12"/>
                <w:color w:val="auto"/>
              </w:rPr>
            </w:pPr>
          </w:p>
        </w:tc>
        <w:tc>
          <w:tcPr>
            <w:tcW w:w="960" w:type="dxa"/>
            <w:vAlign w:val="bottom"/>
            <w:gridSpan w:val="3"/>
            <w:shd w:val="clear" w:color="auto" w:fill="CFF0FC"/>
          </w:tcPr>
          <w:p>
            <w:pPr>
              <w:jc w:val="right"/>
              <w:ind w:right="736"/>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left w:val="single" w:sz="8" w:color="CFF0FC"/>
            </w:tcBorders>
            <w:shd w:val="clear" w:color="auto" w:fill="CFF0FC"/>
          </w:tcPr>
          <w:p>
            <w:pPr>
              <w:spacing w:after="0"/>
              <w:rPr>
                <w:sz w:val="12"/>
                <w:szCs w:val="12"/>
                <w:color w:val="auto"/>
              </w:rPr>
            </w:pPr>
          </w:p>
        </w:tc>
        <w:tc>
          <w:tcPr>
            <w:tcW w:w="280" w:type="dxa"/>
            <w:vAlign w:val="bottom"/>
            <w:gridSpan w:val="3"/>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2,101</w:t>
            </w:r>
          </w:p>
        </w:tc>
        <w:tc>
          <w:tcPr>
            <w:tcW w:w="120" w:type="dxa"/>
            <w:vAlign w:val="bottom"/>
            <w:tcBorders>
              <w:left w:val="single" w:sz="8" w:color="CFF0FC"/>
            </w:tcBorders>
            <w:shd w:val="clear" w:color="auto" w:fill="CFF0FC"/>
          </w:tcPr>
          <w:p>
            <w:pPr>
              <w:spacing w:after="0"/>
              <w:rPr>
                <w:sz w:val="12"/>
                <w:szCs w:val="12"/>
                <w:color w:val="auto"/>
              </w:rPr>
            </w:pPr>
          </w:p>
        </w:tc>
        <w:tc>
          <w:tcPr>
            <w:tcW w:w="300" w:type="dxa"/>
            <w:vAlign w:val="bottom"/>
            <w:gridSpan w:val="3"/>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711</w:t>
            </w:r>
          </w:p>
        </w:tc>
        <w:tc>
          <w:tcPr>
            <w:tcW w:w="12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(93)</w:t>
            </w:r>
          </w:p>
        </w:tc>
        <w:tc>
          <w:tcPr>
            <w:tcW w:w="2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2,719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issuance under stock-based plans</w:t>
            </w: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49"/>
        </w:trPr>
        <w:tc>
          <w:tcPr>
            <w:tcW w:w="416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380" w:type="dxa"/>
            <w:vAlign w:val="bottom"/>
            <w:shd w:val="clear" w:color="auto" w:fill="CFF0FC"/>
          </w:tcPr>
          <w:p>
            <w:pPr>
              <w:spacing w:after="0"/>
              <w:rPr>
                <w:sz w:val="12"/>
                <w:szCs w:val="12"/>
                <w:color w:val="auto"/>
              </w:rPr>
            </w:pPr>
          </w:p>
        </w:tc>
        <w:tc>
          <w:tcPr>
            <w:tcW w:w="100" w:type="dxa"/>
            <w:vAlign w:val="bottom"/>
            <w:tcBorders>
              <w:left w:val="single" w:sz="8" w:color="CFF0FC"/>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tcBorders>
              <w:left w:val="single" w:sz="8" w:color="CFF0FC"/>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20" w:type="dxa"/>
            <w:vAlign w:val="bottom"/>
            <w:tcBorders>
              <w:left w:val="single" w:sz="8" w:color="CFF0FC"/>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Cash dividend ($0.25 per common share)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8"/>
        </w:trPr>
        <w:tc>
          <w:tcPr>
            <w:tcW w:w="416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Comprehensive income (loss) (net of tax):</w:t>
            </w:r>
          </w:p>
        </w:tc>
        <w:tc>
          <w:tcPr>
            <w:tcW w:w="380" w:type="dxa"/>
            <w:vAlign w:val="bottom"/>
            <w:shd w:val="clear" w:color="auto" w:fill="CFF0FC"/>
          </w:tcPr>
          <w:p>
            <w:pPr>
              <w:spacing w:after="0"/>
              <w:rPr>
                <w:sz w:val="12"/>
                <w:szCs w:val="12"/>
                <w:color w:val="auto"/>
              </w:rPr>
            </w:pPr>
          </w:p>
        </w:tc>
        <w:tc>
          <w:tcPr>
            <w:tcW w:w="100" w:type="dxa"/>
            <w:vAlign w:val="bottom"/>
            <w:tcBorders>
              <w:left w:val="single" w:sz="8" w:color="CFF0FC"/>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tcBorders>
              <w:left w:val="single" w:sz="8" w:color="CFF0FC"/>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tcBorders>
              <w:left w:val="single" w:sz="8" w:color="CFF0FC"/>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760" w:type="dxa"/>
            <w:vAlign w:val="bottom"/>
            <w:tcBorders>
              <w:bottom w:val="single" w:sz="8" w:color="auto"/>
            </w:tcBorders>
            <w:shd w:val="clear" w:color="auto" w:fill="CFF0FC"/>
          </w:tcPr>
          <w:p>
            <w:pPr>
              <w:spacing w:after="0"/>
              <w:rPr>
                <w:sz w:val="12"/>
                <w:szCs w:val="12"/>
                <w:color w:val="auto"/>
              </w:rPr>
            </w:pPr>
          </w:p>
        </w:tc>
        <w:tc>
          <w:tcPr>
            <w:tcW w:w="380" w:type="dxa"/>
            <w:vAlign w:val="bottom"/>
            <w:tcBorders>
              <w:bottom w:val="single" w:sz="8" w:color="auto"/>
            </w:tcBorders>
            <w:shd w:val="clear" w:color="auto" w:fill="CFF0FC"/>
          </w:tcPr>
          <w:p>
            <w:pPr>
              <w:spacing w:after="0"/>
              <w:rPr>
                <w:sz w:val="12"/>
                <w:szCs w:val="12"/>
                <w:color w:val="auto"/>
              </w:rPr>
            </w:pPr>
          </w:p>
        </w:tc>
        <w:tc>
          <w:tcPr>
            <w:tcW w:w="100" w:type="dxa"/>
            <w:vAlign w:val="bottom"/>
            <w:tcBorders>
              <w:left w:val="single" w:sz="8" w:color="CFF0FC"/>
              <w:bottom w:val="single" w:sz="8" w:color="CFF0FC"/>
            </w:tcBorders>
            <w:shd w:val="clear" w:color="auto" w:fill="CFF0FC"/>
          </w:tcPr>
          <w:p>
            <w:pPr>
              <w:spacing w:after="0"/>
              <w:rPr>
                <w:sz w:val="12"/>
                <w:szCs w:val="12"/>
                <w:color w:val="auto"/>
              </w:rPr>
            </w:pPr>
          </w:p>
        </w:tc>
        <w:tc>
          <w:tcPr>
            <w:tcW w:w="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right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100" w:type="dxa"/>
            <w:vAlign w:val="bottom"/>
            <w:tcBorders>
              <w:left w:val="single" w:sz="8" w:color="CFF0FC"/>
              <w:bottom w:val="single" w:sz="8" w:color="CFF0FC"/>
            </w:tcBorders>
            <w:shd w:val="clear" w:color="auto" w:fill="CFF0FC"/>
          </w:tcPr>
          <w:p>
            <w:pPr>
              <w:spacing w:after="0"/>
              <w:rPr>
                <w:sz w:val="12"/>
                <w:szCs w:val="12"/>
                <w:color w:val="auto"/>
              </w:rPr>
            </w:pPr>
          </w:p>
        </w:tc>
        <w:tc>
          <w:tcPr>
            <w:tcW w:w="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right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spacing w:after="0"/>
              <w:rPr>
                <w:sz w:val="12"/>
                <w:szCs w:val="12"/>
                <w:color w:val="auto"/>
              </w:rPr>
            </w:pPr>
          </w:p>
        </w:tc>
        <w:tc>
          <w:tcPr>
            <w:tcW w:w="120" w:type="dxa"/>
            <w:vAlign w:val="bottom"/>
            <w:tcBorders>
              <w:left w:val="single" w:sz="8" w:color="CFF0FC"/>
              <w:bottom w:val="single" w:sz="8" w:color="CFF0FC"/>
            </w:tcBorders>
            <w:shd w:val="clear" w:color="auto" w:fill="CFF0FC"/>
          </w:tcPr>
          <w:p>
            <w:pPr>
              <w:spacing w:after="0"/>
              <w:rPr>
                <w:sz w:val="12"/>
                <w:szCs w:val="12"/>
                <w:color w:val="auto"/>
              </w:rPr>
            </w:pPr>
          </w:p>
        </w:tc>
        <w:tc>
          <w:tcPr>
            <w:tcW w:w="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right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at March 31, 2026</w:t>
            </w:r>
          </w:p>
        </w:tc>
        <w:tc>
          <w:tcPr>
            <w:tcW w:w="76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67.3</w:t>
            </w:r>
          </w:p>
        </w:tc>
        <w:tc>
          <w:tcPr>
            <w:tcW w:w="10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820" w:type="dxa"/>
            <w:vAlign w:val="bottom"/>
          </w:tcPr>
          <w:p>
            <w:pPr>
              <w:jc w:val="right"/>
              <w:ind w:right="736"/>
              <w:spacing w:after="0"/>
              <w:rPr>
                <w:sz w:val="20"/>
                <w:szCs w:val="20"/>
                <w:color w:val="auto"/>
              </w:rPr>
            </w:pPr>
            <w:r>
              <w:rPr>
                <w:rFonts w:ascii="Times New Roman" w:cs="Times New Roman" w:eastAsia="Times New Roman" w:hAnsi="Times New Roman"/>
                <w:sz w:val="5"/>
                <w:szCs w:val="5"/>
                <w:color w:val="auto"/>
                <w:w w:val="78"/>
              </w:rPr>
              <w:t>$</w:t>
            </w:r>
          </w:p>
        </w:tc>
        <w:tc>
          <w:tcPr>
            <w:tcW w:w="2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2"/>
                <w:szCs w:val="12"/>
                <w:color w:val="auto"/>
              </w:rPr>
            </w:pPr>
          </w:p>
        </w:tc>
        <w:tc>
          <w:tcPr>
            <w:tcW w:w="280" w:type="dxa"/>
            <w:vAlign w:val="bottom"/>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2,104</w:t>
            </w:r>
          </w:p>
        </w:tc>
        <w:tc>
          <w:tcPr>
            <w:tcW w:w="120" w:type="dxa"/>
            <w:vAlign w:val="bottom"/>
          </w:tcPr>
          <w:p>
            <w:pPr>
              <w:spacing w:after="0"/>
              <w:rPr>
                <w:sz w:val="12"/>
                <w:szCs w:val="12"/>
                <w:color w:val="auto"/>
              </w:rPr>
            </w:pPr>
          </w:p>
        </w:tc>
        <w:tc>
          <w:tcPr>
            <w:tcW w:w="300" w:type="dxa"/>
            <w:vAlign w:val="bottom"/>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778</w:t>
            </w:r>
          </w:p>
        </w:tc>
        <w:tc>
          <w:tcPr>
            <w:tcW w:w="120" w:type="dxa"/>
            <w:vAlign w:val="bottom"/>
          </w:tcPr>
          <w:p>
            <w:pPr>
              <w:spacing w:after="0"/>
              <w:rPr>
                <w:sz w:val="12"/>
                <w:szCs w:val="12"/>
                <w:color w:val="auto"/>
              </w:rPr>
            </w:pPr>
          </w:p>
        </w:tc>
        <w:tc>
          <w:tcPr>
            <w:tcW w:w="1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(71)</w:t>
            </w:r>
          </w:p>
        </w:tc>
        <w:tc>
          <w:tcPr>
            <w:tcW w:w="22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2,811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4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issuance under stock-based plans</w:t>
            </w:r>
          </w:p>
        </w:tc>
        <w:tc>
          <w:tcPr>
            <w:tcW w:w="76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0.3</w:t>
            </w:r>
          </w:p>
        </w:tc>
        <w:tc>
          <w:tcPr>
            <w:tcW w:w="100" w:type="dxa"/>
            <w:vAlign w:val="bottom"/>
            <w:tcBorders>
              <w:left w:val="single" w:sz="8" w:color="CFF0FC"/>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tcBorders>
              <w:left w:val="single" w:sz="8" w:color="CFF0FC"/>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(26)</w:t>
            </w:r>
          </w:p>
        </w:tc>
        <w:tc>
          <w:tcPr>
            <w:tcW w:w="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48"/>
        </w:trPr>
        <w:tc>
          <w:tcPr>
            <w:tcW w:w="4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 dividend ($0.25 per common share)</w:t>
            </w:r>
          </w:p>
        </w:tc>
        <w:tc>
          <w:tcPr>
            <w:tcW w:w="380" w:type="dxa"/>
            <w:vAlign w:val="bottom"/>
            <w:shd w:val="clear" w:color="auto" w:fill="CFF0FC"/>
          </w:tcPr>
          <w:p>
            <w:pPr>
              <w:spacing w:after="0"/>
              <w:rPr>
                <w:sz w:val="12"/>
                <w:szCs w:val="12"/>
                <w:color w:val="auto"/>
              </w:rPr>
            </w:pPr>
          </w:p>
        </w:tc>
        <w:tc>
          <w:tcPr>
            <w:tcW w:w="100" w:type="dxa"/>
            <w:vAlign w:val="bottom"/>
            <w:tcBorders>
              <w:left w:val="single" w:sz="8" w:color="CFF0FC"/>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tcBorders>
              <w:left w:val="single" w:sz="8" w:color="CFF0FC"/>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tcBorders>
              <w:left w:val="single" w:sz="8" w:color="CFF0FC"/>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9"/>
        </w:trPr>
        <w:tc>
          <w:tcPr>
            <w:tcW w:w="4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Comprehensive income (loss) (net of tax):</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380" w:type="dxa"/>
            <w:vAlign w:val="bottom"/>
            <w:shd w:val="clear" w:color="auto" w:fill="CFF0FC"/>
          </w:tcPr>
          <w:p>
            <w:pPr>
              <w:spacing w:after="0"/>
              <w:rPr>
                <w:sz w:val="12"/>
                <w:szCs w:val="12"/>
                <w:color w:val="auto"/>
              </w:rPr>
            </w:pPr>
          </w:p>
        </w:tc>
        <w:tc>
          <w:tcPr>
            <w:tcW w:w="100" w:type="dxa"/>
            <w:vAlign w:val="bottom"/>
            <w:tcBorders>
              <w:left w:val="single" w:sz="8" w:color="CFF0FC"/>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tcBorders>
              <w:left w:val="single" w:sz="8" w:color="CFF0FC"/>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tcBorders>
              <w:left w:val="single" w:sz="8" w:color="CFF0FC"/>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175</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7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June 30, 2026</w:t>
            </w:r>
          </w:p>
        </w:tc>
        <w:tc>
          <w:tcPr>
            <w:tcW w:w="76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67.6</w:t>
            </w:r>
          </w:p>
        </w:tc>
        <w:tc>
          <w:tcPr>
            <w:tcW w:w="100" w:type="dxa"/>
            <w:vAlign w:val="bottom"/>
            <w:tcBorders>
              <w:left w:val="single" w:sz="8" w:color="CFF0FC"/>
            </w:tcBorders>
            <w:shd w:val="clear" w:color="auto" w:fill="CFF0FC"/>
          </w:tcPr>
          <w:p>
            <w:pPr>
              <w:spacing w:after="0"/>
              <w:rPr>
                <w:sz w:val="12"/>
                <w:szCs w:val="12"/>
                <w:color w:val="auto"/>
              </w:rPr>
            </w:pPr>
          </w:p>
        </w:tc>
        <w:tc>
          <w:tcPr>
            <w:tcW w:w="140" w:type="dxa"/>
            <w:vAlign w:val="bottom"/>
            <w:tcBorders>
              <w:right w:val="single" w:sz="8" w:color="CFF0FC"/>
            </w:tcBorders>
            <w:gridSpan w:val="2"/>
            <w:shd w:val="clear" w:color="auto" w:fill="CFF0FC"/>
          </w:tcPr>
          <w:p>
            <w:pPr>
              <w:spacing w:after="0"/>
              <w:rPr>
                <w:sz w:val="12"/>
                <w:szCs w:val="12"/>
                <w:color w:val="auto"/>
              </w:rPr>
            </w:pPr>
          </w:p>
        </w:tc>
        <w:tc>
          <w:tcPr>
            <w:tcW w:w="820" w:type="dxa"/>
            <w:vAlign w:val="bottom"/>
            <w:shd w:val="clear" w:color="auto" w:fill="CFF0FC"/>
          </w:tcPr>
          <w:p>
            <w:pPr>
              <w:jc w:val="right"/>
              <w:ind w:right="736"/>
              <w:spacing w:after="0"/>
              <w:rPr>
                <w:sz w:val="20"/>
                <w:szCs w:val="20"/>
                <w:color w:val="auto"/>
              </w:rPr>
            </w:pPr>
            <w:r>
              <w:rPr>
                <w:rFonts w:ascii="Times New Roman" w:cs="Times New Roman" w:eastAsia="Times New Roman" w:hAnsi="Times New Roman"/>
                <w:sz w:val="5"/>
                <w:szCs w:val="5"/>
                <w:color w:val="auto"/>
                <w:w w:val="78"/>
              </w:rPr>
              <w:t>$</w:t>
            </w:r>
          </w:p>
        </w:tc>
        <w:tc>
          <w:tcPr>
            <w:tcW w:w="2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left w:val="single" w:sz="8" w:color="CFF0FC"/>
            </w:tcBorders>
            <w:shd w:val="clear" w:color="auto" w:fill="CFF0FC"/>
          </w:tcPr>
          <w:p>
            <w:pPr>
              <w:spacing w:after="0"/>
              <w:rPr>
                <w:sz w:val="12"/>
                <w:szCs w:val="12"/>
                <w:color w:val="auto"/>
              </w:rPr>
            </w:pPr>
          </w:p>
        </w:tc>
        <w:tc>
          <w:tcPr>
            <w:tcW w:w="280" w:type="dxa"/>
            <w:vAlign w:val="bottom"/>
            <w:gridSpan w:val="3"/>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2,093</w:t>
            </w:r>
          </w:p>
        </w:tc>
        <w:tc>
          <w:tcPr>
            <w:tcW w:w="120" w:type="dxa"/>
            <w:vAlign w:val="bottom"/>
            <w:tcBorders>
              <w:left w:val="single" w:sz="8" w:color="CFF0FC"/>
            </w:tcBorders>
            <w:shd w:val="clear" w:color="auto" w:fill="CFF0FC"/>
          </w:tcPr>
          <w:p>
            <w:pPr>
              <w:spacing w:after="0"/>
              <w:rPr>
                <w:sz w:val="12"/>
                <w:szCs w:val="12"/>
                <w:color w:val="auto"/>
              </w:rPr>
            </w:pPr>
          </w:p>
        </w:tc>
        <w:tc>
          <w:tcPr>
            <w:tcW w:w="300" w:type="dxa"/>
            <w:vAlign w:val="bottom"/>
            <w:gridSpan w:val="3"/>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936</w:t>
            </w:r>
          </w:p>
        </w:tc>
        <w:tc>
          <w:tcPr>
            <w:tcW w:w="12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(41)</w:t>
            </w:r>
          </w:p>
        </w:tc>
        <w:tc>
          <w:tcPr>
            <w:tcW w:w="2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2,988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Stock-based compensation</w:t>
            </w:r>
          </w:p>
        </w:tc>
        <w:tc>
          <w:tcPr>
            <w:tcW w:w="7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2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4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w:t>
            </w:r>
          </w:p>
        </w:tc>
        <w:tc>
          <w:tcPr>
            <w:tcW w:w="120" w:type="dxa"/>
            <w:vAlign w:val="bottom"/>
            <w:tcBorders>
              <w:top w:val="single" w:sz="8" w:color="CFF0FC"/>
            </w:tcBorders>
          </w:tcPr>
          <w:p>
            <w:pPr>
              <w:spacing w:after="0"/>
              <w:rPr>
                <w:sz w:val="12"/>
                <w:szCs w:val="12"/>
                <w:color w:val="auto"/>
              </w:rPr>
            </w:pPr>
          </w:p>
        </w:tc>
        <w:tc>
          <w:tcPr>
            <w:tcW w:w="2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w:t>
            </w:r>
          </w:p>
        </w:tc>
        <w:tc>
          <w:tcPr>
            <w:tcW w:w="1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 dividend ($0.25 per common share)</w:t>
            </w:r>
          </w:p>
        </w:tc>
        <w:tc>
          <w:tcPr>
            <w:tcW w:w="380" w:type="dxa"/>
            <w:vAlign w:val="bottom"/>
            <w:shd w:val="clear" w:color="auto" w:fill="CFF0FC"/>
          </w:tcPr>
          <w:p>
            <w:pPr>
              <w:spacing w:after="0"/>
              <w:rPr>
                <w:sz w:val="12"/>
                <w:szCs w:val="12"/>
                <w:color w:val="auto"/>
              </w:rPr>
            </w:pPr>
          </w:p>
        </w:tc>
        <w:tc>
          <w:tcPr>
            <w:tcW w:w="100" w:type="dxa"/>
            <w:vAlign w:val="bottom"/>
            <w:tcBorders>
              <w:left w:val="single" w:sz="8" w:color="CFF0FC"/>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tcBorders>
              <w:left w:val="single" w:sz="8" w:color="CFF0FC"/>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tcBorders>
              <w:left w:val="single" w:sz="8" w:color="CFF0FC"/>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8"/>
        </w:trPr>
        <w:tc>
          <w:tcPr>
            <w:tcW w:w="4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Comprehensive income (loss) (net of tax):</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380" w:type="dxa"/>
            <w:vAlign w:val="bottom"/>
            <w:shd w:val="clear" w:color="auto" w:fill="CFF0FC"/>
          </w:tcPr>
          <w:p>
            <w:pPr>
              <w:spacing w:after="0"/>
              <w:rPr>
                <w:sz w:val="12"/>
                <w:szCs w:val="12"/>
                <w:color w:val="auto"/>
              </w:rPr>
            </w:pPr>
          </w:p>
        </w:tc>
        <w:tc>
          <w:tcPr>
            <w:tcW w:w="100" w:type="dxa"/>
            <w:vAlign w:val="bottom"/>
            <w:tcBorders>
              <w:left w:val="single" w:sz="8" w:color="CFF0FC"/>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tcBorders>
              <w:left w:val="single" w:sz="8" w:color="CFF0FC"/>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tcBorders>
              <w:left w:val="single" w:sz="8" w:color="CFF0FC"/>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236</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7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September 30, 2026</w:t>
            </w:r>
          </w:p>
        </w:tc>
        <w:tc>
          <w:tcPr>
            <w:tcW w:w="76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67.6</w:t>
            </w:r>
          </w:p>
        </w:tc>
        <w:tc>
          <w:tcPr>
            <w:tcW w:w="100" w:type="dxa"/>
            <w:vAlign w:val="bottom"/>
            <w:tcBorders>
              <w:left w:val="single" w:sz="8" w:color="CFF0FC"/>
            </w:tcBorders>
            <w:shd w:val="clear" w:color="auto" w:fill="CFF0FC"/>
          </w:tcPr>
          <w:p>
            <w:pPr>
              <w:spacing w:after="0"/>
              <w:rPr>
                <w:sz w:val="12"/>
                <w:szCs w:val="12"/>
                <w:color w:val="auto"/>
              </w:rPr>
            </w:pPr>
          </w:p>
        </w:tc>
        <w:tc>
          <w:tcPr>
            <w:tcW w:w="140" w:type="dxa"/>
            <w:vAlign w:val="bottom"/>
            <w:tcBorders>
              <w:right w:val="single" w:sz="8" w:color="CFF0FC"/>
            </w:tcBorders>
            <w:gridSpan w:val="2"/>
            <w:shd w:val="clear" w:color="auto" w:fill="CFF0FC"/>
          </w:tcPr>
          <w:p>
            <w:pPr>
              <w:spacing w:after="0"/>
              <w:rPr>
                <w:sz w:val="12"/>
                <w:szCs w:val="12"/>
                <w:color w:val="auto"/>
              </w:rPr>
            </w:pPr>
          </w:p>
        </w:tc>
        <w:tc>
          <w:tcPr>
            <w:tcW w:w="820" w:type="dxa"/>
            <w:vAlign w:val="bottom"/>
            <w:shd w:val="clear" w:color="auto" w:fill="CFF0FC"/>
          </w:tcPr>
          <w:p>
            <w:pPr>
              <w:jc w:val="right"/>
              <w:ind w:right="736"/>
              <w:spacing w:after="0"/>
              <w:rPr>
                <w:sz w:val="20"/>
                <w:szCs w:val="20"/>
                <w:color w:val="auto"/>
              </w:rPr>
            </w:pPr>
            <w:r>
              <w:rPr>
                <w:rFonts w:ascii="Times New Roman" w:cs="Times New Roman" w:eastAsia="Times New Roman" w:hAnsi="Times New Roman"/>
                <w:sz w:val="5"/>
                <w:szCs w:val="5"/>
                <w:color w:val="auto"/>
                <w:w w:val="78"/>
              </w:rPr>
              <w:t>$</w:t>
            </w:r>
          </w:p>
        </w:tc>
        <w:tc>
          <w:tcPr>
            <w:tcW w:w="2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left w:val="single" w:sz="8" w:color="CFF0FC"/>
            </w:tcBorders>
            <w:shd w:val="clear" w:color="auto" w:fill="CFF0FC"/>
          </w:tcPr>
          <w:p>
            <w:pPr>
              <w:spacing w:after="0"/>
              <w:rPr>
                <w:sz w:val="12"/>
                <w:szCs w:val="12"/>
                <w:color w:val="auto"/>
              </w:rPr>
            </w:pPr>
          </w:p>
        </w:tc>
        <w:tc>
          <w:tcPr>
            <w:tcW w:w="280" w:type="dxa"/>
            <w:vAlign w:val="bottom"/>
            <w:gridSpan w:val="3"/>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2,108</w:t>
            </w:r>
          </w:p>
        </w:tc>
        <w:tc>
          <w:tcPr>
            <w:tcW w:w="120" w:type="dxa"/>
            <w:vAlign w:val="bottom"/>
            <w:tcBorders>
              <w:left w:val="single" w:sz="8" w:color="CFF0FC"/>
            </w:tcBorders>
            <w:shd w:val="clear" w:color="auto" w:fill="CFF0FC"/>
          </w:tcPr>
          <w:p>
            <w:pPr>
              <w:spacing w:after="0"/>
              <w:rPr>
                <w:sz w:val="12"/>
                <w:szCs w:val="12"/>
                <w:color w:val="auto"/>
              </w:rPr>
            </w:pPr>
          </w:p>
        </w:tc>
        <w:tc>
          <w:tcPr>
            <w:tcW w:w="300" w:type="dxa"/>
            <w:vAlign w:val="bottom"/>
            <w:gridSpan w:val="3"/>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1,155</w:t>
            </w:r>
          </w:p>
        </w:tc>
        <w:tc>
          <w:tcPr>
            <w:tcW w:w="12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3,286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551"/>
        </w:trPr>
        <w:tc>
          <w:tcPr>
            <w:tcW w:w="3400" w:type="dxa"/>
            <w:vAlign w:val="bottom"/>
            <w:tcBorders>
              <w:top w:val="single" w:sz="8" w:color="CFF0FC"/>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Additional</w:t>
            </w:r>
          </w:p>
        </w:tc>
        <w:tc>
          <w:tcPr>
            <w:tcW w:w="120" w:type="dxa"/>
            <w:vAlign w:val="bottom"/>
            <w:tcBorders>
              <w:top w:val="single" w:sz="8" w:color="CFF0FC"/>
            </w:tcBorders>
            <w:vMerge w:val="restart"/>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Accumulated</w:t>
            </w: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top w:val="single" w:sz="8" w:color="CFF0FC"/>
            </w:tcBorders>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40" w:type="dxa"/>
            <w:vAlign w:val="bottom"/>
            <w:gridSpan w:val="5"/>
            <w:vMerge w:val="restart"/>
          </w:tcPr>
          <w:p>
            <w:pPr>
              <w:jc w:val="right"/>
              <w:ind w:right="476"/>
              <w:spacing w:after="0"/>
              <w:rPr>
                <w:sz w:val="20"/>
                <w:szCs w:val="20"/>
                <w:color w:val="auto"/>
              </w:rPr>
            </w:pPr>
            <w:r>
              <w:rPr>
                <w:rFonts w:ascii="Times New Roman" w:cs="Times New Roman" w:eastAsia="Times New Roman" w:hAnsi="Times New Roman"/>
                <w:sz w:val="14"/>
                <w:szCs w:val="14"/>
                <w:color w:val="auto"/>
              </w:rPr>
              <w:t>Common Stock</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Retained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40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5"/>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420"/>
              <w:spacing w:after="0" w:line="158" w:lineRule="exact"/>
              <w:rPr>
                <w:sz w:val="20"/>
                <w:szCs w:val="20"/>
                <w:color w:val="auto"/>
              </w:rPr>
            </w:pPr>
            <w:r>
              <w:rPr>
                <w:rFonts w:ascii="Times New Roman" w:cs="Times New Roman" w:eastAsia="Times New Roman" w:hAnsi="Times New Roman"/>
                <w:sz w:val="14"/>
                <w:szCs w:val="14"/>
                <w:color w:val="auto"/>
              </w:rPr>
              <w:t>Paid-In</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4"/>
                <w:szCs w:val="14"/>
                <w:color w:val="auto"/>
              </w:rPr>
              <w:t>Comprehensive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Shares</w:t>
            </w: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color w:val="auto"/>
              </w:rPr>
              <w:t>Amount</w:t>
            </w:r>
          </w:p>
        </w:tc>
        <w:tc>
          <w:tcPr>
            <w:tcW w:w="2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color w:val="auto"/>
              </w:rPr>
              <w:t>Capital</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Earnings</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28"/>
              <w:spacing w:after="0" w:line="142" w:lineRule="exact"/>
              <w:rPr>
                <w:sz w:val="20"/>
                <w:szCs w:val="20"/>
                <w:color w:val="auto"/>
              </w:rPr>
            </w:pPr>
            <w:r>
              <w:rPr>
                <w:rFonts w:ascii="Times New Roman" w:cs="Times New Roman" w:eastAsia="Times New Roman" w:hAnsi="Times New Roman"/>
                <w:sz w:val="14"/>
                <w:szCs w:val="14"/>
                <w:color w:val="auto"/>
              </w:rPr>
              <w:t>(Loss) Income</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48"/>
              <w:spacing w:after="0" w:line="142" w:lineRule="exact"/>
              <w:rPr>
                <w:sz w:val="20"/>
                <w:szCs w:val="20"/>
                <w:color w:val="auto"/>
              </w:rPr>
            </w:pPr>
            <w:r>
              <w:rPr>
                <w:rFonts w:ascii="Times New Roman" w:cs="Times New Roman" w:eastAsia="Times New Roman" w:hAnsi="Times New Roman"/>
                <w:sz w:val="14"/>
                <w:szCs w:val="14"/>
                <w:color w:val="auto"/>
              </w:rPr>
              <w:t>Equity</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6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31, 2024</w:t>
            </w:r>
          </w:p>
        </w:tc>
        <w:tc>
          <w:tcPr>
            <w:tcW w:w="3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67.4</w:t>
            </w:r>
          </w:p>
        </w:tc>
        <w:tc>
          <w:tcPr>
            <w:tcW w:w="100" w:type="dxa"/>
            <w:vAlign w:val="bottom"/>
            <w:tcBorders>
              <w:left w:val="single" w:sz="8" w:color="CFF0FC"/>
            </w:tcBorders>
            <w:shd w:val="clear" w:color="auto" w:fill="CFF0FC"/>
          </w:tcPr>
          <w:p>
            <w:pPr>
              <w:spacing w:after="0"/>
              <w:rPr>
                <w:sz w:val="12"/>
                <w:szCs w:val="12"/>
                <w:color w:val="auto"/>
              </w:rPr>
            </w:pPr>
          </w:p>
        </w:tc>
        <w:tc>
          <w:tcPr>
            <w:tcW w:w="960" w:type="dxa"/>
            <w:vAlign w:val="bottom"/>
            <w:gridSpan w:val="3"/>
            <w:shd w:val="clear" w:color="auto" w:fill="CFF0FC"/>
          </w:tcPr>
          <w:p>
            <w:pPr>
              <w:jc w:val="right"/>
              <w:ind w:right="716"/>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left w:val="single" w:sz="8" w:color="CFF0FC"/>
            </w:tcBorders>
            <w:shd w:val="clear" w:color="auto" w:fill="CFF0FC"/>
          </w:tcPr>
          <w:p>
            <w:pPr>
              <w:spacing w:after="0"/>
              <w:rPr>
                <w:sz w:val="12"/>
                <w:szCs w:val="12"/>
                <w:color w:val="auto"/>
              </w:rPr>
            </w:pPr>
          </w:p>
        </w:tc>
        <w:tc>
          <w:tcPr>
            <w:tcW w:w="280" w:type="dxa"/>
            <w:vAlign w:val="bottom"/>
            <w:gridSpan w:val="3"/>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2,067</w:t>
            </w:r>
          </w:p>
        </w:tc>
        <w:tc>
          <w:tcPr>
            <w:tcW w:w="120" w:type="dxa"/>
            <w:vAlign w:val="bottom"/>
            <w:tcBorders>
              <w:left w:val="single" w:sz="8" w:color="CFF0FC"/>
            </w:tcBorders>
            <w:shd w:val="clear" w:color="auto" w:fill="CFF0FC"/>
          </w:tcPr>
          <w:p>
            <w:pPr>
              <w:spacing w:after="0"/>
              <w:rPr>
                <w:sz w:val="12"/>
                <w:szCs w:val="12"/>
                <w:color w:val="auto"/>
              </w:rPr>
            </w:pPr>
          </w:p>
        </w:tc>
        <w:tc>
          <w:tcPr>
            <w:tcW w:w="300" w:type="dxa"/>
            <w:vAlign w:val="bottom"/>
            <w:gridSpan w:val="3"/>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503</w:t>
            </w:r>
          </w:p>
        </w:tc>
        <w:tc>
          <w:tcPr>
            <w:tcW w:w="12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(248)</w:t>
            </w:r>
          </w:p>
        </w:tc>
        <w:tc>
          <w:tcPr>
            <w:tcW w:w="2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2,322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issuance under stock-based plans</w:t>
            </w:r>
          </w:p>
        </w:tc>
        <w:tc>
          <w:tcPr>
            <w:tcW w:w="4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8"/>
        </w:trPr>
        <w:tc>
          <w:tcPr>
            <w:tcW w:w="416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380" w:type="dxa"/>
            <w:vAlign w:val="bottom"/>
            <w:shd w:val="clear" w:color="auto" w:fill="CFF0FC"/>
          </w:tcPr>
          <w:p>
            <w:pPr>
              <w:spacing w:after="0"/>
              <w:rPr>
                <w:sz w:val="12"/>
                <w:szCs w:val="12"/>
                <w:color w:val="auto"/>
              </w:rPr>
            </w:pPr>
          </w:p>
        </w:tc>
        <w:tc>
          <w:tcPr>
            <w:tcW w:w="100" w:type="dxa"/>
            <w:vAlign w:val="bottom"/>
            <w:tcBorders>
              <w:left w:val="single" w:sz="8" w:color="CFF0FC"/>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tcBorders>
              <w:left w:val="single" w:sz="8" w:color="CFF0FC"/>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20" w:type="dxa"/>
            <w:vAlign w:val="bottom"/>
            <w:tcBorders>
              <w:left w:val="single" w:sz="8" w:color="CFF0FC"/>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Stock repurchase</w:t>
            </w:r>
          </w:p>
        </w:tc>
        <w:tc>
          <w:tcPr>
            <w:tcW w:w="4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49"/>
        </w:trPr>
        <w:tc>
          <w:tcPr>
            <w:tcW w:w="416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 dividend ($0.22 per common share)</w:t>
            </w:r>
          </w:p>
        </w:tc>
        <w:tc>
          <w:tcPr>
            <w:tcW w:w="380" w:type="dxa"/>
            <w:vAlign w:val="bottom"/>
            <w:shd w:val="clear" w:color="auto" w:fill="CFF0FC"/>
          </w:tcPr>
          <w:p>
            <w:pPr>
              <w:spacing w:after="0"/>
              <w:rPr>
                <w:sz w:val="12"/>
                <w:szCs w:val="12"/>
                <w:color w:val="auto"/>
              </w:rPr>
            </w:pPr>
          </w:p>
        </w:tc>
        <w:tc>
          <w:tcPr>
            <w:tcW w:w="100" w:type="dxa"/>
            <w:vAlign w:val="bottom"/>
            <w:tcBorders>
              <w:left w:val="single" w:sz="8" w:color="CFF0FC"/>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tcBorders>
              <w:left w:val="single" w:sz="8" w:color="CFF0FC"/>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tcBorders>
              <w:left w:val="single" w:sz="8" w:color="CFF0FC"/>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48"/>
        </w:trPr>
        <w:tc>
          <w:tcPr>
            <w:tcW w:w="4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Comprehensive income (loss) (net of tax):</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380" w:type="dxa"/>
            <w:vAlign w:val="bottom"/>
            <w:shd w:val="clear" w:color="auto" w:fill="CFF0FC"/>
          </w:tcPr>
          <w:p>
            <w:pPr>
              <w:spacing w:after="0"/>
              <w:rPr>
                <w:sz w:val="12"/>
                <w:szCs w:val="12"/>
                <w:color w:val="auto"/>
              </w:rPr>
            </w:pPr>
          </w:p>
        </w:tc>
        <w:tc>
          <w:tcPr>
            <w:tcW w:w="100" w:type="dxa"/>
            <w:vAlign w:val="bottom"/>
            <w:tcBorders>
              <w:left w:val="single" w:sz="8" w:color="CFF0FC"/>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tcBorders>
              <w:left w:val="single" w:sz="8" w:color="CFF0FC"/>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tcBorders>
              <w:left w:val="single" w:sz="8" w:color="CFF0FC"/>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7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March 31, 2025</w:t>
            </w:r>
          </w:p>
        </w:tc>
        <w:tc>
          <w:tcPr>
            <w:tcW w:w="76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66.9</w:t>
            </w:r>
          </w:p>
        </w:tc>
        <w:tc>
          <w:tcPr>
            <w:tcW w:w="100" w:type="dxa"/>
            <w:vAlign w:val="bottom"/>
            <w:tcBorders>
              <w:left w:val="single" w:sz="8" w:color="CFF0FC"/>
            </w:tcBorders>
            <w:shd w:val="clear" w:color="auto" w:fill="CFF0FC"/>
          </w:tcPr>
          <w:p>
            <w:pPr>
              <w:spacing w:after="0"/>
              <w:rPr>
                <w:sz w:val="12"/>
                <w:szCs w:val="12"/>
                <w:color w:val="auto"/>
              </w:rPr>
            </w:pPr>
          </w:p>
        </w:tc>
        <w:tc>
          <w:tcPr>
            <w:tcW w:w="960" w:type="dxa"/>
            <w:vAlign w:val="bottom"/>
            <w:gridSpan w:val="3"/>
            <w:shd w:val="clear" w:color="auto" w:fill="CFF0FC"/>
          </w:tcPr>
          <w:p>
            <w:pPr>
              <w:jc w:val="right"/>
              <w:ind w:right="716"/>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left w:val="single" w:sz="8" w:color="CFF0FC"/>
            </w:tcBorders>
            <w:shd w:val="clear" w:color="auto" w:fill="CFF0FC"/>
          </w:tcPr>
          <w:p>
            <w:pPr>
              <w:spacing w:after="0"/>
              <w:rPr>
                <w:sz w:val="12"/>
                <w:szCs w:val="12"/>
                <w:color w:val="auto"/>
              </w:rPr>
            </w:pPr>
          </w:p>
        </w:tc>
        <w:tc>
          <w:tcPr>
            <w:tcW w:w="280" w:type="dxa"/>
            <w:vAlign w:val="bottom"/>
            <w:gridSpan w:val="3"/>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2,067</w:t>
            </w:r>
          </w:p>
        </w:tc>
        <w:tc>
          <w:tcPr>
            <w:tcW w:w="120" w:type="dxa"/>
            <w:vAlign w:val="bottom"/>
            <w:tcBorders>
              <w:left w:val="single" w:sz="8" w:color="CFF0FC"/>
            </w:tcBorders>
            <w:shd w:val="clear" w:color="auto" w:fill="CFF0FC"/>
          </w:tcPr>
          <w:p>
            <w:pPr>
              <w:spacing w:after="0"/>
              <w:rPr>
                <w:sz w:val="12"/>
                <w:szCs w:val="12"/>
                <w:color w:val="auto"/>
              </w:rPr>
            </w:pPr>
          </w:p>
        </w:tc>
        <w:tc>
          <w:tcPr>
            <w:tcW w:w="300" w:type="dxa"/>
            <w:vAlign w:val="bottom"/>
            <w:gridSpan w:val="3"/>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512</w:t>
            </w:r>
          </w:p>
        </w:tc>
        <w:tc>
          <w:tcPr>
            <w:tcW w:w="12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(225)</w:t>
            </w:r>
          </w:p>
        </w:tc>
        <w:tc>
          <w:tcPr>
            <w:tcW w:w="2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2,354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Net issuance under stock-based plans</w:t>
            </w:r>
          </w:p>
        </w:tc>
        <w:tc>
          <w:tcPr>
            <w:tcW w:w="7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0.3</w:t>
            </w:r>
          </w:p>
        </w:tc>
        <w:tc>
          <w:tcPr>
            <w:tcW w:w="100" w:type="dxa"/>
            <w:vAlign w:val="bottom"/>
            <w:tcBorders>
              <w:top w:val="single" w:sz="8" w:color="CFF0FC"/>
            </w:tcBorders>
          </w:tcPr>
          <w:p>
            <w:pPr>
              <w:spacing w:after="0"/>
              <w:rPr>
                <w:sz w:val="12"/>
                <w:szCs w:val="12"/>
                <w:color w:val="auto"/>
              </w:rPr>
            </w:pPr>
          </w:p>
        </w:tc>
        <w:tc>
          <w:tcPr>
            <w:tcW w:w="2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4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tcPr>
          <w:p>
            <w:pPr>
              <w:spacing w:after="0"/>
              <w:rPr>
                <w:sz w:val="12"/>
                <w:szCs w:val="12"/>
                <w:color w:val="auto"/>
              </w:rPr>
            </w:pPr>
          </w:p>
        </w:tc>
        <w:tc>
          <w:tcPr>
            <w:tcW w:w="2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380" w:type="dxa"/>
            <w:vAlign w:val="bottom"/>
            <w:shd w:val="clear" w:color="auto" w:fill="CFF0FC"/>
          </w:tcPr>
          <w:p>
            <w:pPr>
              <w:spacing w:after="0"/>
              <w:rPr>
                <w:sz w:val="12"/>
                <w:szCs w:val="12"/>
                <w:color w:val="auto"/>
              </w:rPr>
            </w:pPr>
          </w:p>
        </w:tc>
        <w:tc>
          <w:tcPr>
            <w:tcW w:w="100" w:type="dxa"/>
            <w:vAlign w:val="bottom"/>
            <w:tcBorders>
              <w:left w:val="single" w:sz="8" w:color="CFF0FC"/>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tcBorders>
              <w:left w:val="single" w:sz="8" w:color="CFF0FC"/>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left w:val="single" w:sz="8" w:color="CFF0FC"/>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Cash dividend ($0.22 per common share)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48"/>
        </w:trPr>
        <w:tc>
          <w:tcPr>
            <w:tcW w:w="416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Comprehensive income (loss) (net of tax):</w:t>
            </w:r>
          </w:p>
        </w:tc>
        <w:tc>
          <w:tcPr>
            <w:tcW w:w="380" w:type="dxa"/>
            <w:vAlign w:val="bottom"/>
            <w:shd w:val="clear" w:color="auto" w:fill="CFF0FC"/>
          </w:tcPr>
          <w:p>
            <w:pPr>
              <w:spacing w:after="0"/>
              <w:rPr>
                <w:sz w:val="12"/>
                <w:szCs w:val="12"/>
                <w:color w:val="auto"/>
              </w:rPr>
            </w:pPr>
          </w:p>
        </w:tc>
        <w:tc>
          <w:tcPr>
            <w:tcW w:w="100" w:type="dxa"/>
            <w:vAlign w:val="bottom"/>
            <w:tcBorders>
              <w:left w:val="single" w:sz="8" w:color="CFF0FC"/>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tcBorders>
              <w:left w:val="single" w:sz="8" w:color="CFF0FC"/>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tcBorders>
              <w:left w:val="single" w:sz="8" w:color="CFF0FC"/>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760" w:type="dxa"/>
            <w:vAlign w:val="bottom"/>
            <w:tcBorders>
              <w:bottom w:val="single" w:sz="8" w:color="auto"/>
            </w:tcBorders>
            <w:shd w:val="clear" w:color="auto" w:fill="CFF0FC"/>
          </w:tcPr>
          <w:p>
            <w:pPr>
              <w:spacing w:after="0"/>
              <w:rPr>
                <w:sz w:val="12"/>
                <w:szCs w:val="12"/>
                <w:color w:val="auto"/>
              </w:rPr>
            </w:pPr>
          </w:p>
        </w:tc>
        <w:tc>
          <w:tcPr>
            <w:tcW w:w="380" w:type="dxa"/>
            <w:vAlign w:val="bottom"/>
            <w:tcBorders>
              <w:bottom w:val="single" w:sz="8" w:color="auto"/>
            </w:tcBorders>
            <w:shd w:val="clear" w:color="auto" w:fill="CFF0FC"/>
          </w:tcPr>
          <w:p>
            <w:pPr>
              <w:spacing w:after="0"/>
              <w:rPr>
                <w:sz w:val="12"/>
                <w:szCs w:val="12"/>
                <w:color w:val="auto"/>
              </w:rPr>
            </w:pPr>
          </w:p>
        </w:tc>
        <w:tc>
          <w:tcPr>
            <w:tcW w:w="100" w:type="dxa"/>
            <w:vAlign w:val="bottom"/>
            <w:tcBorders>
              <w:left w:val="single" w:sz="8" w:color="CFF0FC"/>
              <w:bottom w:val="single" w:sz="8" w:color="CFF0FC"/>
            </w:tcBorders>
            <w:shd w:val="clear" w:color="auto" w:fill="CFF0FC"/>
          </w:tcPr>
          <w:p>
            <w:pPr>
              <w:spacing w:after="0"/>
              <w:rPr>
                <w:sz w:val="12"/>
                <w:szCs w:val="12"/>
                <w:color w:val="auto"/>
              </w:rPr>
            </w:pPr>
          </w:p>
        </w:tc>
        <w:tc>
          <w:tcPr>
            <w:tcW w:w="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right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100" w:type="dxa"/>
            <w:vAlign w:val="bottom"/>
            <w:tcBorders>
              <w:left w:val="single" w:sz="8" w:color="CFF0FC"/>
              <w:bottom w:val="single" w:sz="8" w:color="CFF0FC"/>
            </w:tcBorders>
            <w:shd w:val="clear" w:color="auto" w:fill="CFF0FC"/>
          </w:tcPr>
          <w:p>
            <w:pPr>
              <w:spacing w:after="0"/>
              <w:rPr>
                <w:sz w:val="12"/>
                <w:szCs w:val="12"/>
                <w:color w:val="auto"/>
              </w:rPr>
            </w:pPr>
          </w:p>
        </w:tc>
        <w:tc>
          <w:tcPr>
            <w:tcW w:w="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right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spacing w:after="0"/>
              <w:rPr>
                <w:sz w:val="12"/>
                <w:szCs w:val="12"/>
                <w:color w:val="auto"/>
              </w:rPr>
            </w:pPr>
          </w:p>
        </w:tc>
        <w:tc>
          <w:tcPr>
            <w:tcW w:w="120" w:type="dxa"/>
            <w:vAlign w:val="bottom"/>
            <w:tcBorders>
              <w:left w:val="single" w:sz="8" w:color="CFF0FC"/>
              <w:bottom w:val="single" w:sz="8" w:color="CFF0FC"/>
            </w:tcBorders>
            <w:shd w:val="clear" w:color="auto" w:fill="CFF0FC"/>
          </w:tcPr>
          <w:p>
            <w:pPr>
              <w:spacing w:after="0"/>
              <w:rPr>
                <w:sz w:val="12"/>
                <w:szCs w:val="12"/>
                <w:color w:val="auto"/>
              </w:rPr>
            </w:pPr>
          </w:p>
        </w:tc>
        <w:tc>
          <w:tcPr>
            <w:tcW w:w="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right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141</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141</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at June 30, 2025</w:t>
            </w:r>
          </w:p>
        </w:tc>
        <w:tc>
          <w:tcPr>
            <w:tcW w:w="76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67.2</w:t>
            </w:r>
          </w:p>
        </w:tc>
        <w:tc>
          <w:tcPr>
            <w:tcW w:w="100" w:type="dxa"/>
            <w:vAlign w:val="bottom"/>
          </w:tcPr>
          <w:p>
            <w:pPr>
              <w:spacing w:after="0"/>
              <w:rPr>
                <w:sz w:val="12"/>
                <w:szCs w:val="12"/>
                <w:color w:val="auto"/>
              </w:rPr>
            </w:pPr>
          </w:p>
        </w:tc>
        <w:tc>
          <w:tcPr>
            <w:tcW w:w="960" w:type="dxa"/>
            <w:vAlign w:val="bottom"/>
            <w:gridSpan w:val="3"/>
          </w:tcPr>
          <w:p>
            <w:pPr>
              <w:jc w:val="right"/>
              <w:ind w:right="716"/>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2"/>
                <w:szCs w:val="12"/>
                <w:color w:val="auto"/>
              </w:rPr>
            </w:pPr>
          </w:p>
        </w:tc>
        <w:tc>
          <w:tcPr>
            <w:tcW w:w="28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2,078</w:t>
            </w:r>
          </w:p>
        </w:tc>
        <w:tc>
          <w:tcPr>
            <w:tcW w:w="120" w:type="dxa"/>
            <w:vAlign w:val="bottom"/>
          </w:tcPr>
          <w:p>
            <w:pPr>
              <w:spacing w:after="0"/>
              <w:rPr>
                <w:sz w:val="12"/>
                <w:szCs w:val="12"/>
                <w:color w:val="auto"/>
              </w:rPr>
            </w:pPr>
          </w:p>
        </w:tc>
        <w:tc>
          <w:tcPr>
            <w:tcW w:w="300" w:type="dxa"/>
            <w:vAlign w:val="bottom"/>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559</w:t>
            </w:r>
          </w:p>
        </w:tc>
        <w:tc>
          <w:tcPr>
            <w:tcW w:w="120" w:type="dxa"/>
            <w:vAlign w:val="bottom"/>
          </w:tcPr>
          <w:p>
            <w:pPr>
              <w:spacing w:after="0"/>
              <w:rPr>
                <w:sz w:val="12"/>
                <w:szCs w:val="12"/>
                <w:color w:val="auto"/>
              </w:rPr>
            </w:pPr>
          </w:p>
        </w:tc>
        <w:tc>
          <w:tcPr>
            <w:tcW w:w="1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(84)</w:t>
            </w:r>
          </w:p>
        </w:tc>
        <w:tc>
          <w:tcPr>
            <w:tcW w:w="22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2,553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Stock-based compensation</w:t>
            </w:r>
          </w:p>
        </w:tc>
        <w:tc>
          <w:tcPr>
            <w:tcW w:w="760" w:type="dxa"/>
            <w:vAlign w:val="bottom"/>
            <w:tcBorders>
              <w:top w:val="single" w:sz="8" w:color="auto"/>
            </w:tcBorders>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spacing w:after="0"/>
              <w:rPr>
                <w:sz w:val="12"/>
                <w:szCs w:val="12"/>
                <w:color w:val="auto"/>
              </w:rPr>
            </w:pPr>
          </w:p>
        </w:tc>
        <w:tc>
          <w:tcPr>
            <w:tcW w:w="100" w:type="dxa"/>
            <w:vAlign w:val="bottom"/>
            <w:tcBorders>
              <w:left w:val="single" w:sz="8" w:color="CFF0FC"/>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100" w:type="dxa"/>
            <w:vAlign w:val="bottom"/>
            <w:tcBorders>
              <w:left w:val="single" w:sz="8" w:color="CFF0FC"/>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left w:val="single" w:sz="8" w:color="CFF0FC"/>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Cash dividend ($0.22 per common share)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48"/>
        </w:trPr>
        <w:tc>
          <w:tcPr>
            <w:tcW w:w="416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Comprehensive income (loss) (net of tax):</w:t>
            </w:r>
          </w:p>
        </w:tc>
        <w:tc>
          <w:tcPr>
            <w:tcW w:w="380" w:type="dxa"/>
            <w:vAlign w:val="bottom"/>
            <w:shd w:val="clear" w:color="auto" w:fill="CFF0FC"/>
          </w:tcPr>
          <w:p>
            <w:pPr>
              <w:spacing w:after="0"/>
              <w:rPr>
                <w:sz w:val="12"/>
                <w:szCs w:val="12"/>
                <w:color w:val="auto"/>
              </w:rPr>
            </w:pPr>
          </w:p>
        </w:tc>
        <w:tc>
          <w:tcPr>
            <w:tcW w:w="100" w:type="dxa"/>
            <w:vAlign w:val="bottom"/>
            <w:tcBorders>
              <w:left w:val="single" w:sz="8" w:color="CFF0FC"/>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tcBorders>
              <w:left w:val="single" w:sz="8" w:color="CFF0FC"/>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tcBorders>
              <w:left w:val="single" w:sz="8" w:color="CFF0FC"/>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(loss) income</w:t>
            </w:r>
          </w:p>
        </w:tc>
        <w:tc>
          <w:tcPr>
            <w:tcW w:w="7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00" w:type="dxa"/>
            <w:vAlign w:val="bottom"/>
            <w:tcBorders>
              <w:left w:val="single" w:sz="8" w:color="CFF0FC"/>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tcBorders>
              <w:left w:val="single" w:sz="8" w:color="CFF0FC"/>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tcBorders>
              <w:left w:val="single" w:sz="8" w:color="CFF0FC"/>
            </w:tcBorders>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0"/>
        </w:trPr>
        <w:tc>
          <w:tcPr>
            <w:tcW w:w="34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4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at September 30, 2025</w:t>
            </w:r>
          </w:p>
        </w:tc>
        <w:tc>
          <w:tcPr>
            <w:tcW w:w="76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67.2</w:t>
            </w:r>
          </w:p>
        </w:tc>
        <w:tc>
          <w:tcPr>
            <w:tcW w:w="100" w:type="dxa"/>
            <w:vAlign w:val="bottom"/>
          </w:tcPr>
          <w:p>
            <w:pPr>
              <w:spacing w:after="0"/>
              <w:rPr>
                <w:sz w:val="12"/>
                <w:szCs w:val="12"/>
                <w:color w:val="auto"/>
              </w:rPr>
            </w:pPr>
          </w:p>
        </w:tc>
        <w:tc>
          <w:tcPr>
            <w:tcW w:w="960" w:type="dxa"/>
            <w:vAlign w:val="bottom"/>
            <w:gridSpan w:val="3"/>
          </w:tcPr>
          <w:p>
            <w:pPr>
              <w:jc w:val="right"/>
              <w:ind w:right="716"/>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2"/>
                <w:szCs w:val="12"/>
                <w:color w:val="auto"/>
              </w:rPr>
            </w:pPr>
          </w:p>
        </w:tc>
        <w:tc>
          <w:tcPr>
            <w:tcW w:w="28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2,090</w:t>
            </w:r>
          </w:p>
        </w:tc>
        <w:tc>
          <w:tcPr>
            <w:tcW w:w="120" w:type="dxa"/>
            <w:vAlign w:val="bottom"/>
          </w:tcPr>
          <w:p>
            <w:pPr>
              <w:spacing w:after="0"/>
              <w:rPr>
                <w:sz w:val="12"/>
                <w:szCs w:val="12"/>
                <w:color w:val="auto"/>
              </w:rPr>
            </w:pPr>
          </w:p>
        </w:tc>
        <w:tc>
          <w:tcPr>
            <w:tcW w:w="300" w:type="dxa"/>
            <w:vAlign w:val="bottom"/>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618</w:t>
            </w:r>
          </w:p>
        </w:tc>
        <w:tc>
          <w:tcPr>
            <w:tcW w:w="120" w:type="dxa"/>
            <w:vAlign w:val="bottom"/>
          </w:tcPr>
          <w:p>
            <w:pPr>
              <w:spacing w:after="0"/>
              <w:rPr>
                <w:sz w:val="12"/>
                <w:szCs w:val="12"/>
                <w:color w:val="auto"/>
              </w:rPr>
            </w:pPr>
          </w:p>
        </w:tc>
        <w:tc>
          <w:tcPr>
            <w:tcW w:w="1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(108)</w:t>
            </w:r>
          </w:p>
        </w:tc>
        <w:tc>
          <w:tcPr>
            <w:tcW w:w="22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2,600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-4156710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-4156710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-4156710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-4156710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-4156710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-4156710</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-3376930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-3376930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-3376930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-3376930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-3376930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-3376930</wp:posOffset>
            </wp:positionV>
            <wp:extent cx="774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-2794000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-2794000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-2794000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-2794000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-2794000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-2794000</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-1268095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-1268095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-1268095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-1268095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-1268095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-1268095</wp:posOffset>
            </wp:positionV>
            <wp:extent cx="77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-693420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-693420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-693420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-693420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-693420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-693420</wp:posOffset>
            </wp:positionV>
            <wp:extent cx="774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-110490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-110490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-110490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-110490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-110490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-110490</wp:posOffset>
            </wp:positionV>
            <wp:extent cx="774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t>MKS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tcPr>
          <w:p>
            <w:pPr>
              <w:spacing w:after="0"/>
              <w:rPr>
                <w:sz w:val="14"/>
                <w:szCs w:val="14"/>
                <w:color w:val="auto"/>
              </w:rPr>
            </w:pPr>
          </w:p>
        </w:tc>
        <w:tc>
          <w:tcPr>
            <w:tcW w:w="2920" w:type="dxa"/>
            <w:vAlign w:val="bottom"/>
            <w:tcBorders>
              <w:bottom w:val="single" w:sz="8" w:color="auto"/>
            </w:tcBorders>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Nine Months Ended September 30,</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760" w:type="dxa"/>
            <w:vAlign w:val="bottom"/>
            <w:vMerge w:val="continue"/>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shd w:val="clear" w:color="auto" w:fill="CFF0FC"/>
          </w:tcPr>
          <w:p>
            <w:pPr>
              <w:jc w:val="right"/>
              <w:ind w:right="741"/>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3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Unrealized (gain) loss on foreign currency and derivative instruments</w:t>
            </w:r>
          </w:p>
        </w:tc>
        <w:tc>
          <w:tcPr>
            <w:tcW w:w="9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Amortization of debt issuance costs and original issue discount</w:t>
            </w:r>
          </w:p>
        </w:tc>
        <w:tc>
          <w:tcPr>
            <w:tcW w:w="9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Provision for excess and obsolete inventory</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Deferred income taxes</w:t>
            </w:r>
          </w:p>
        </w:tc>
        <w:tc>
          <w:tcPr>
            <w:tcW w:w="9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(64)</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7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9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(248)</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Inventories</w:t>
            </w:r>
          </w:p>
        </w:tc>
        <w:tc>
          <w:tcPr>
            <w:tcW w:w="9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(263)</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7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9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9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Current and non-current accrued compensation</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Income taxes payable</w:t>
            </w:r>
          </w:p>
        </w:tc>
        <w:tc>
          <w:tcPr>
            <w:tcW w:w="9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current and non-current liabilities</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0"/>
        </w:trPr>
        <w:tc>
          <w:tcPr>
            <w:tcW w:w="7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00" w:type="dxa"/>
            <w:vAlign w:val="bottom"/>
            <w:tcBorders>
              <w:top w:val="single" w:sz="8" w:color="auto"/>
              <w:bottom w:val="single" w:sz="8" w:color="auto"/>
            </w:tcBorders>
            <w:shd w:val="clear" w:color="auto" w:fill="CFF0FC"/>
          </w:tcPr>
          <w:p>
            <w:pPr>
              <w:spacing w:after="0"/>
              <w:rPr>
                <w:sz w:val="18"/>
                <w:szCs w:val="18"/>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3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spacing w:after="0"/>
              <w:rPr>
                <w:sz w:val="18"/>
                <w:szCs w:val="18"/>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Purchases of investments</w:t>
            </w:r>
          </w:p>
        </w:tc>
        <w:tc>
          <w:tcPr>
            <w:tcW w:w="9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7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from sale of long-lived assets</w:t>
            </w:r>
          </w:p>
        </w:tc>
        <w:tc>
          <w:tcPr>
            <w:tcW w:w="9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9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(128)</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0"/>
        </w:trPr>
        <w:tc>
          <w:tcPr>
            <w:tcW w:w="77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(129)</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0"/>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90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9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Proceeds from borrowing</w:t>
            </w:r>
          </w:p>
        </w:tc>
        <w:tc>
          <w:tcPr>
            <w:tcW w:w="9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Payments of borrowings</w:t>
            </w:r>
          </w:p>
        </w:tc>
        <w:tc>
          <w:tcPr>
            <w:tcW w:w="9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(1,541)</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Payments of deferred financing fees</w:t>
            </w:r>
          </w:p>
        </w:tc>
        <w:tc>
          <w:tcPr>
            <w:tcW w:w="9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Dividend payments</w:t>
            </w:r>
          </w:p>
        </w:tc>
        <w:tc>
          <w:tcPr>
            <w:tcW w:w="9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Net payments related to employee stock awards</w:t>
            </w:r>
          </w:p>
        </w:tc>
        <w:tc>
          <w:tcPr>
            <w:tcW w:w="9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(43)</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7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9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(466)</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10"/>
        </w:trPr>
        <w:tc>
          <w:tcPr>
            <w:tcW w:w="77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9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9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900" w:type="dxa"/>
            <w:vAlign w:val="bottom"/>
            <w:shd w:val="clear" w:color="auto" w:fill="CFF0FC"/>
          </w:tcPr>
          <w:p>
            <w:pPr>
              <w:jc w:val="right"/>
              <w:ind w:right="741"/>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30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7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9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Supplemental non-cash financing activities:</w:t>
            </w:r>
          </w:p>
        </w:tc>
        <w:tc>
          <w:tcPr>
            <w:tcW w:w="9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Right-of-use assets obtained in exchange for finance lease liabilities</w:t>
            </w:r>
          </w:p>
        </w:tc>
        <w:tc>
          <w:tcPr>
            <w:tcW w:w="900" w:type="dxa"/>
            <w:vAlign w:val="bottom"/>
          </w:tcPr>
          <w:p>
            <w:pPr>
              <w:jc w:val="right"/>
              <w:ind w:right="741"/>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spacing w:after="0"/>
              <w:rPr>
                <w:sz w:val="20"/>
                <w:szCs w:val="20"/>
                <w:color w:val="auto"/>
              </w:rPr>
            </w:pPr>
          </w:p>
        </w:tc>
        <w:tc>
          <w:tcPr>
            <w:tcW w:w="12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-2976880</wp:posOffset>
            </wp:positionV>
            <wp:extent cx="774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-2976880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-2419985</wp:posOffset>
            </wp:positionV>
            <wp:extent cx="774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-2419985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-1022350</wp:posOffset>
            </wp:positionV>
            <wp:extent cx="77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-1022350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-448310</wp:posOffset>
            </wp:positionV>
            <wp:extent cx="774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-431165</wp:posOffset>
            </wp:positionV>
            <wp:extent cx="7747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-448310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-431165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t>MKS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200" w:lineRule="exact"/>
        <w:rPr>
          <w:sz w:val="20"/>
          <w:szCs w:val="20"/>
          <w:color w:val="auto"/>
        </w:rPr>
      </w:pPr>
    </w:p>
    <w:p>
      <w:pPr>
        <w:spacing w:after="0" w:line="219" w:lineRule="exact"/>
        <w:rPr>
          <w:sz w:val="20"/>
          <w:szCs w:val="20"/>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rFonts w:ascii="Times New Roman" w:cs="Times New Roman" w:eastAsia="Times New Roman" w:hAnsi="Times New Roman"/>
          <w:sz w:val="18"/>
          <w:szCs w:val="18"/>
          <w:b w:val="1"/>
          <w:bCs w:val="1"/>
          <w:color w:val="auto"/>
        </w:rPr>
      </w:pPr>
    </w:p>
    <w:p>
      <w:pPr>
        <w:ind w:left="7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terms “MKS” and the “Company” refer to MKS Inc. and its subsidiaries. All intercompany accounts and transactions have been eliminated in consolidation. The interim financial data as of September 30, 2026, and for the three and nine months ended September 30, 2026, are unaudited; however, in the opinion of MKS, the interim data includes all adjustments, consisting of normal recurring adjustments, necessary for a fair statement of the results for the interim periods. The condensed consolidated balance sheet presented as of December 31, 2025 has been derived from the consolidated audited financial statements as of that date. The unaudited condensed consolidated financial statements presented herein have been prepared in accordance with the instructions to Form 10-Q pursuant to the rules and regulations of the U.S. Securities and Exchange Commission (the “SEC”). Certain information and footnote disclosures normally included in financial statements prepared in accordance with accounting principles generally accepted in the United States have been condensed or omitted pursuant to such rules and regulations. The unaudited condensed consolidated financial statements should be read in conjunction with the audited consolidated financial statements and notes thereto included in the MKS Annual Report on Form 10-K for the year ended December 31, 2025, filed with the SEC on February 24, 2026.</w:t>
      </w:r>
    </w:p>
    <w:p>
      <w:pPr>
        <w:spacing w:after="0" w:line="83" w:lineRule="exact"/>
        <w:rPr>
          <w:rFonts w:ascii="Times New Roman" w:cs="Times New Roman" w:eastAsia="Times New Roman" w:hAnsi="Times New Roman"/>
          <w:sz w:val="18"/>
          <w:szCs w:val="18"/>
          <w:b w:val="1"/>
          <w:bCs w:val="1"/>
          <w:color w:val="auto"/>
        </w:rPr>
      </w:pPr>
    </w:p>
    <w:p>
      <w:pPr>
        <w:ind w:left="760" w:right="20"/>
        <w:spacing w:after="0" w:line="27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preparation of these unaudited condensed consolidated financial statements requires management to make estimates and assumptions that affect the reported amounts of assets and liabilities and the disclosure of contingent liabilities at the date of the unaudited condensed consolidated financial statements and the reported amounts of revenues and expenses during the reporting period. On an ongoing basis, management evaluates its estimates and judgments, including those related to revenue recognition, inventory valuation, warranty costs, pension plan valuations, stock-based compensation expense, intangible assets, goodwill, long-lived assets, income taxes and derivatives. Management bases its estimates and judgments on historical experience and on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As a result of rounding, there may be immaterial differences in amounts presented and certain calculations may not sum to the total number expressed in each category or tie to a corresponding schedule.</w:t>
      </w:r>
    </w:p>
    <w:p>
      <w:pPr>
        <w:spacing w:after="0" w:line="65" w:lineRule="exact"/>
        <w:rPr>
          <w:rFonts w:ascii="Times New Roman" w:cs="Times New Roman" w:eastAsia="Times New Roman" w:hAnsi="Times New Roman"/>
          <w:sz w:val="18"/>
          <w:szCs w:val="18"/>
          <w:b w:val="1"/>
          <w:bCs w:val="1"/>
          <w:color w:val="auto"/>
        </w:rPr>
      </w:pPr>
    </w:p>
    <w:p>
      <w:pPr>
        <w:ind w:left="760" w:right="5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three reportable segments: the Vacuum Solutions Division (“VSD”), the Photonics Solutions Division (“PSD”) and the Materials Solutions Division (“MSD”) as described in Note 15.</w:t>
      </w:r>
    </w:p>
    <w:p>
      <w:pPr>
        <w:spacing w:after="0" w:line="157" w:lineRule="exact"/>
        <w:rPr>
          <w:rFonts w:ascii="Times New Roman" w:cs="Times New Roman" w:eastAsia="Times New Roman" w:hAnsi="Times New Roman"/>
          <w:sz w:val="18"/>
          <w:szCs w:val="18"/>
          <w:b w:val="1"/>
          <w:bCs w:val="1"/>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rFonts w:ascii="Times New Roman" w:cs="Times New Roman" w:eastAsia="Times New Roman" w:hAnsi="Times New Roman"/>
          <w:sz w:val="18"/>
          <w:szCs w:val="18"/>
          <w:b w:val="1"/>
          <w:bCs w:val="1"/>
          <w:color w:val="auto"/>
        </w:rPr>
      </w:pPr>
    </w:p>
    <w:p>
      <w:pPr>
        <w:ind w:left="760" w:right="3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Income Statement—Reporting Comprehensive Income—Expense Disaggregation Disclosures (Subtopic 220-40): Disaggregation of Income Statement Expenses</w:t>
      </w:r>
    </w:p>
    <w:p>
      <w:pPr>
        <w:spacing w:after="0" w:line="161" w:lineRule="exact"/>
        <w:rPr>
          <w:rFonts w:ascii="Times New Roman" w:cs="Times New Roman" w:eastAsia="Times New Roman" w:hAnsi="Times New Roman"/>
          <w:sz w:val="18"/>
          <w:szCs w:val="18"/>
          <w:b w:val="1"/>
          <w:bCs w:val="1"/>
          <w:color w:val="auto"/>
        </w:rPr>
      </w:pPr>
    </w:p>
    <w:p>
      <w:pPr>
        <w:ind w:left="760" w:right="18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November 2024, the Financial Accounting Standards Board (“FASB”) issued Accounting Standards Update (“ASU”) No. 2024-03, Income Statement—Reporting Comprehensive Income—Expense Disaggregation Disclosures (Subtopic 220-40): Disaggregation of Income Statement Expenses (“ASU 2024-03”), which requires public companies to disclose, in interim and annual reporting periods, additional disaggregated information about certain income statement expense line items in the notes to financial statements. The amendments in ASU 2024-03 are effective for annual reporting periods beginning after December 15, 2026, and interim reporting periods beginning after December 15, 2027, with early adoption permitted. The Company is currently evaluating the impact on its consolidated financial statement disclosures; however, adoption will not impact its consolidated balance sheets, cash flows or statements of operations.</w:t>
      </w:r>
    </w:p>
    <w:p>
      <w:pPr>
        <w:spacing w:after="0" w:line="188" w:lineRule="exact"/>
        <w:rPr>
          <w:rFonts w:ascii="Times New Roman" w:cs="Times New Roman" w:eastAsia="Times New Roman" w:hAnsi="Times New Roman"/>
          <w:sz w:val="18"/>
          <w:szCs w:val="18"/>
          <w:b w:val="1"/>
          <w:bCs w:val="1"/>
          <w:color w:val="auto"/>
        </w:rPr>
      </w:pP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Derivatives and Hedging (Topic 815): Hedge Accounting Improvements</w:t>
      </w:r>
    </w:p>
    <w:p>
      <w:pPr>
        <w:spacing w:after="0" w:line="225" w:lineRule="exact"/>
        <w:rPr>
          <w:rFonts w:ascii="Times New Roman" w:cs="Times New Roman" w:eastAsia="Times New Roman" w:hAnsi="Times New Roman"/>
          <w:sz w:val="18"/>
          <w:szCs w:val="18"/>
          <w:b w:val="1"/>
          <w:bCs w:val="1"/>
          <w:color w:val="auto"/>
        </w:rPr>
      </w:pPr>
    </w:p>
    <w:p>
      <w:pPr>
        <w:jc w:val="both"/>
        <w:ind w:left="760" w:right="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November 2025, the FASB issued ASU No. 2025-09, Derivatives and Hedging (Topic 815): Hedge Accounting Improvements (“ASU 2025-09”), which focuses on aligning hedge accounting with the economics of an entity’s risk management activities. The amendments in ASU 2025-09 are effective for annual reporting periods beginning after December 15, 2026, and interim periods within those annual reporting periods, with early adoption permitted. The Company is currently evaluating the impact of adopting the new standard.</w:t>
      </w:r>
    </w:p>
    <w:p>
      <w:pPr>
        <w:spacing w:after="0" w:line="179" w:lineRule="exact"/>
        <w:rPr>
          <w:rFonts w:ascii="Times New Roman" w:cs="Times New Roman" w:eastAsia="Times New Roman" w:hAnsi="Times New Roman"/>
          <w:sz w:val="18"/>
          <w:szCs w:val="18"/>
          <w:b w:val="1"/>
          <w:bCs w:val="1"/>
          <w:color w:val="auto"/>
        </w:rPr>
      </w:pP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Government Grants (Topic 832): Accounting for Government Grants Received by Business Entities</w:t>
      </w:r>
    </w:p>
    <w:p>
      <w:pPr>
        <w:spacing w:after="0" w:line="225" w:lineRule="exact"/>
        <w:rPr>
          <w:sz w:val="20"/>
          <w:szCs w:val="20"/>
          <w:color w:val="auto"/>
        </w:rPr>
      </w:pPr>
    </w:p>
    <w:p>
      <w:pPr>
        <w:ind w:left="760" w:right="480"/>
        <w:spacing w:after="0" w:line="282" w:lineRule="auto"/>
        <w:rPr>
          <w:sz w:val="20"/>
          <w:szCs w:val="20"/>
          <w:color w:val="auto"/>
        </w:rPr>
      </w:pPr>
      <w:r>
        <w:rPr>
          <w:rFonts w:ascii="Times New Roman" w:cs="Times New Roman" w:eastAsia="Times New Roman" w:hAnsi="Times New Roman"/>
          <w:sz w:val="18"/>
          <w:szCs w:val="18"/>
          <w:color w:val="auto"/>
        </w:rPr>
        <w:t>In December 2025, the FASB issued ASU No. 2025-10, Government Grants (Topic 832): Accounting for Government Grants Received by Business Entities (“ASU 2025-10”), which establishes authoritative guidance on the recognition,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t>MKS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207" w:lineRule="exact"/>
        <w:rPr>
          <w:sz w:val="20"/>
          <w:szCs w:val="20"/>
          <w:color w:val="auto"/>
        </w:rPr>
      </w:pPr>
    </w:p>
    <w:p>
      <w:pPr>
        <w:ind w:left="760" w:right="40"/>
        <w:spacing w:after="0" w:line="261" w:lineRule="auto"/>
        <w:rPr>
          <w:sz w:val="20"/>
          <w:szCs w:val="20"/>
          <w:color w:val="auto"/>
        </w:rPr>
      </w:pPr>
      <w:r>
        <w:rPr>
          <w:rFonts w:ascii="Times New Roman" w:cs="Times New Roman" w:eastAsia="Times New Roman" w:hAnsi="Times New Roman"/>
          <w:sz w:val="18"/>
          <w:szCs w:val="18"/>
          <w:color w:val="auto"/>
        </w:rPr>
        <w:t>measurement, presentation and disclosure of government grants received by business entities. The amendments in ASU 2025-10 are effective for annual reporting periods beginning after December 15, 2028, and interim reporting periods within those annual reporting periods, with early adoption permitted. The Company is currently evaluating the impact of adopting ASU 2025-10 but does not expect ASU 2025-10 adoption to have a material impact on its consolidated financial statements.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Interim Reporting (Topic 270): Narrow-Scope Improvements</w:t>
      </w:r>
    </w:p>
    <w:p>
      <w:pPr>
        <w:spacing w:after="0" w:line="225" w:lineRule="exact"/>
        <w:rPr>
          <w:sz w:val="20"/>
          <w:szCs w:val="20"/>
          <w:color w:val="auto"/>
        </w:rPr>
      </w:pPr>
    </w:p>
    <w:p>
      <w:pPr>
        <w:ind w:left="760" w:right="60"/>
        <w:spacing w:after="0" w:line="258" w:lineRule="auto"/>
        <w:rPr>
          <w:sz w:val="20"/>
          <w:szCs w:val="20"/>
          <w:color w:val="auto"/>
        </w:rPr>
      </w:pPr>
      <w:r>
        <w:rPr>
          <w:rFonts w:ascii="Times New Roman" w:cs="Times New Roman" w:eastAsia="Times New Roman" w:hAnsi="Times New Roman"/>
          <w:sz w:val="18"/>
          <w:szCs w:val="18"/>
          <w:color w:val="auto"/>
        </w:rPr>
        <w:t>In December 2025, the FASB issued ASU No. 2025-11, Interim Reporting (Topic 270): Narrow-Scope Improvements (“ASU 2025-11”), which clarifies interim disclosure requirements and the applicability of Topic 270. The amendments in ASU 2025-11 are effective for interim reporting periods within annual reporting periods beginning after December 15, 2027, with early adoption permitted. The Company is currently evaluating the impact of adopting ASU 2025-11 but does not expect ASU 2025-11 adoption to have a material impact on its consolidated financial statements.</w:t>
      </w:r>
    </w:p>
    <w:p>
      <w:pPr>
        <w:spacing w:after="0" w:line="179" w:lineRule="exact"/>
        <w:rPr>
          <w:sz w:val="20"/>
          <w:szCs w:val="20"/>
          <w:color w:val="auto"/>
        </w:rPr>
      </w:pPr>
    </w:p>
    <w:p>
      <w:pPr>
        <w:ind w:left="760" w:hanging="752"/>
        <w:spacing w:after="0"/>
        <w:tabs>
          <w:tab w:leader="none" w:pos="7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229" w:lineRule="exact"/>
        <w:rPr>
          <w:rFonts w:ascii="Times New Roman" w:cs="Times New Roman" w:eastAsia="Times New Roman" w:hAnsi="Times New Roman"/>
          <w:sz w:val="18"/>
          <w:szCs w:val="18"/>
          <w:b w:val="1"/>
          <w:bCs w:val="1"/>
          <w:color w:val="auto"/>
        </w:rPr>
      </w:pPr>
    </w:p>
    <w:p>
      <w:pPr>
        <w:ind w:left="760" w:right="40"/>
        <w:spacing w:after="0" w:line="27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Contract assets as of September 30, 2026 and December 31, 2025 were $55 and $45, respectively. Contract assets reflect revenue recognized and performance obligations satisfied or partially satisfied in advance of customer billing. Deferred revenue that is expected to be recognized during the succeeding 12-month period is recorded as current deferred revenue, and the remaining portion is recorded as long-term deferred revenue.</w:t>
      </w:r>
    </w:p>
    <w:p>
      <w:pPr>
        <w:spacing w:after="0" w:line="1" w:lineRule="exact"/>
        <w:rPr>
          <w:rFonts w:ascii="Times New Roman" w:cs="Times New Roman" w:eastAsia="Times New Roman" w:hAnsi="Times New Roman"/>
          <w:sz w:val="18"/>
          <w:szCs w:val="18"/>
          <w:b w:val="1"/>
          <w:bCs w:val="1"/>
          <w:color w:val="auto"/>
        </w:rPr>
      </w:pPr>
    </w:p>
    <w:p>
      <w:pPr>
        <w:ind w:left="760" w:right="1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elected to use the practical expedient and is not disclosing the remaining performance obligations related to deferred revenue and customer advances because these obligations generally have a duration of less than one year. A roll forward of the Company’s deferred revenue and customer advances was as follows:</w:t>
      </w:r>
    </w:p>
    <w:p>
      <w:pPr>
        <w:spacing w:after="0" w:line="128" w:lineRule="exact"/>
        <w:rPr>
          <w:sz w:val="20"/>
          <w:szCs w:val="20"/>
          <w:color w:val="auto"/>
        </w:rPr>
      </w:pPr>
    </w:p>
    <w:tbl>
      <w:tblPr>
        <w:tblLayout w:type="fixed"/>
        <w:tblInd w:w="760" w:type="dxa"/>
        <w:tblCellMar>
          <w:top w:w="0" w:type="dxa"/>
          <w:left w:w="0" w:type="dxa"/>
          <w:bottom w:w="0" w:type="dxa"/>
          <w:right w:w="0" w:type="dxa"/>
        </w:tblCellMar>
      </w:tblPr>
      <w:tr>
        <w:trPr>
          <w:trHeight w:val="171"/>
        </w:trPr>
        <w:tc>
          <w:tcPr>
            <w:tcW w:w="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540" w:type="dxa"/>
            <w:vAlign w:val="bottom"/>
            <w:gridSpan w:val="6"/>
          </w:tcPr>
          <w:p>
            <w:pPr>
              <w:jc w:val="right"/>
              <w:ind w:right="1320"/>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48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color w:val="auto"/>
              </w:rPr>
              <w:t>September 30, 2026</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5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color w:val="auto"/>
              </w:rPr>
              <w:t>September 30, 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6740" w:type="dxa"/>
            <w:vAlign w:val="bottom"/>
            <w:gridSpan w:val="2"/>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Beginning of period</w:t>
            </w:r>
            <w:r>
              <w:rPr>
                <w:rFonts w:ascii="Times New Roman" w:cs="Times New Roman" w:eastAsia="Times New Roman" w:hAnsi="Times New Roman"/>
                <w:sz w:val="24"/>
                <w:szCs w:val="24"/>
                <w:color w:val="auto"/>
                <w:vertAlign w:val="superscript"/>
              </w:rPr>
              <w:t>(1)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 to deferred revenue and customer advances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 of deferred revenue and customer advances recognized in income</w:t>
            </w:r>
          </w:p>
        </w:tc>
        <w:tc>
          <w:tcPr>
            <w:tcW w:w="16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1440" w:type="dxa"/>
            <w:vAlign w:val="bottom"/>
            <w:shd w:val="clear" w:color="auto" w:fill="CFF0FC"/>
          </w:tcPr>
          <w:p>
            <w:pPr>
              <w:spacing w:after="0" w:line="20" w:lineRule="exact"/>
              <w:rPr>
                <w:sz w:val="1"/>
                <w:szCs w:val="1"/>
                <w:color w:val="auto"/>
              </w:rPr>
            </w:pPr>
          </w:p>
        </w:tc>
        <w:tc>
          <w:tcPr>
            <w:tcW w:w="53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vMerge w:val="continue"/>
          </w:tcPr>
          <w:p>
            <w:pPr>
              <w:spacing w:after="0"/>
              <w:rPr>
                <w:sz w:val="18"/>
                <w:szCs w:val="18"/>
                <w:color w:val="auto"/>
              </w:rPr>
            </w:pPr>
          </w:p>
        </w:tc>
        <w:tc>
          <w:tcPr>
            <w:tcW w:w="6740" w:type="dxa"/>
            <w:vAlign w:val="bottom"/>
            <w:gridSpan w:val="2"/>
          </w:tcPr>
          <w:p>
            <w:pPr>
              <w:spacing w:after="0" w:line="210" w:lineRule="exact"/>
              <w:rPr>
                <w:sz w:val="20"/>
                <w:szCs w:val="20"/>
                <w:color w:val="auto"/>
              </w:rPr>
            </w:pPr>
            <w:r>
              <w:rPr>
                <w:rFonts w:ascii="Times New Roman" w:cs="Times New Roman" w:eastAsia="Times New Roman" w:hAnsi="Times New Roman"/>
                <w:sz w:val="18"/>
                <w:szCs w:val="18"/>
                <w:color w:val="auto"/>
              </w:rPr>
              <w:t>End of period</w:t>
            </w:r>
            <w:r>
              <w:rPr>
                <w:rFonts w:ascii="Times New Roman" w:cs="Times New Roman" w:eastAsia="Times New Roman" w:hAnsi="Times New Roman"/>
                <w:sz w:val="24"/>
                <w:szCs w:val="24"/>
                <w:color w:val="auto"/>
                <w:vertAlign w:val="superscript"/>
              </w:rPr>
              <w:t>(2)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8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5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-264795</wp:posOffset>
            </wp:positionV>
            <wp:extent cx="603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 w:lineRule="exact"/>
        <w:rPr>
          <w:sz w:val="20"/>
          <w:szCs w:val="20"/>
          <w:color w:val="auto"/>
        </w:rPr>
      </w:pPr>
    </w:p>
    <w:p>
      <w:pPr>
        <w:ind w:left="1140" w:right="140" w:hanging="390"/>
        <w:spacing w:after="0" w:line="236" w:lineRule="auto"/>
        <w:tabs>
          <w:tab w:leader="none" w:pos="114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Beginning deferred revenue and customer advances balances as of January 1, 2026 included $79 of current deferred revenue and customer advances and $4 of long-term deferred revenue. Beginning deferred revenue and customer advances balances as of January 1, 2025 included $71 of current deferred revenue and customer advances and $2 of long-term deferred revenue. The majority of the beginning of period balance is expected to be recognized in income within one year.</w:t>
      </w:r>
    </w:p>
    <w:p>
      <w:pPr>
        <w:spacing w:after="0" w:line="9" w:lineRule="exact"/>
        <w:rPr>
          <w:rFonts w:ascii="Times New Roman" w:cs="Times New Roman" w:eastAsia="Times New Roman" w:hAnsi="Times New Roman"/>
          <w:sz w:val="24"/>
          <w:szCs w:val="24"/>
          <w:color w:val="auto"/>
          <w:vertAlign w:val="superscript"/>
        </w:rPr>
      </w:pPr>
    </w:p>
    <w:p>
      <w:pPr>
        <w:ind w:left="1140" w:right="200" w:hanging="390"/>
        <w:spacing w:after="0" w:line="231" w:lineRule="auto"/>
        <w:tabs>
          <w:tab w:leader="none" w:pos="114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Ending deferred revenue and customer advances balances as of September 30, 2026 included $128 of current deferred revenue and customer advances and $10 of long-term deferred revenue. Ending deferred revenue and customer advances balances as of September 30, 2025 included $77 of current deferred revenue and customer advances and $3 of long-term deferred revenue.</w:t>
      </w:r>
    </w:p>
    <w:p>
      <w:pPr>
        <w:spacing w:after="0" w:line="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Revenue from certain custom products, including MSD plating equipment, and revenue from certain service contracts are recorded over time.</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Remaining product and service revenues are recorded at a point in time.</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Disaggregation of Revenue</w:t>
      </w:r>
    </w:p>
    <w:p>
      <w:pPr>
        <w:spacing w:after="0" w:line="225" w:lineRule="exact"/>
        <w:rPr>
          <w:sz w:val="20"/>
          <w:szCs w:val="20"/>
          <w:color w:val="auto"/>
        </w:rPr>
      </w:pPr>
    </w:p>
    <w:p>
      <w:pPr>
        <w:ind w:left="760" w:right="2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revenue from contracts with customers in the Company’s three end markets: Semiconductor, Electronics and Packaging, and Specialty Industrial.</w:t>
      </w:r>
    </w:p>
    <w:p>
      <w:pPr>
        <w:spacing w:after="0" w:line="49" w:lineRule="exact"/>
        <w:rPr>
          <w:sz w:val="20"/>
          <w:szCs w:val="20"/>
          <w:color w:val="auto"/>
        </w:rPr>
      </w:pPr>
    </w:p>
    <w:tbl>
      <w:tblPr>
        <w:tblLayout w:type="fixed"/>
        <w:tblInd w:w="8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Three Months Ended September 30,</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20" w:type="dxa"/>
            <w:vAlign w:val="bottom"/>
            <w:gridSpan w:val="5"/>
          </w:tcPr>
          <w:p>
            <w:pPr>
              <w:ind w:left="160"/>
              <w:spacing w:after="0"/>
              <w:rPr>
                <w:sz w:val="20"/>
                <w:szCs w:val="20"/>
                <w:color w:val="auto"/>
              </w:rPr>
            </w:pPr>
            <w:r>
              <w:rPr>
                <w:rFonts w:ascii="Times New Roman" w:cs="Times New Roman" w:eastAsia="Times New Roman" w:hAnsi="Times New Roman"/>
                <w:sz w:val="14"/>
                <w:szCs w:val="14"/>
                <w:color w:val="auto"/>
              </w:rPr>
              <w:t>Nine Months Ended September 30,</w:t>
            </w: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4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34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1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Semiconductor</w:t>
            </w:r>
          </w:p>
        </w:tc>
        <w:tc>
          <w:tcPr>
            <w:tcW w:w="860" w:type="dxa"/>
            <w:vAlign w:val="bottom"/>
            <w:shd w:val="clear" w:color="auto" w:fill="CFF0FC"/>
          </w:tcPr>
          <w:p>
            <w:pPr>
              <w:jc w:val="right"/>
              <w:ind w:right="702"/>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20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4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Electronics and Packaging</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Specialty Industrial</w:t>
            </w:r>
          </w:p>
        </w:tc>
        <w:tc>
          <w:tcPr>
            <w:tcW w:w="86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2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Total net revenues</w:t>
            </w:r>
          </w:p>
        </w:tc>
        <w:tc>
          <w:tcPr>
            <w:tcW w:w="860" w:type="dxa"/>
            <w:vAlign w:val="bottom"/>
          </w:tcPr>
          <w:p>
            <w:pPr>
              <w:jc w:val="right"/>
              <w:ind w:right="702"/>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200" w:type="dxa"/>
            <w:vAlign w:val="bottom"/>
            <w:gridSpan w:val="2"/>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-170815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-170815</wp:posOffset>
            </wp:positionV>
            <wp:extent cx="603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-170815</wp:posOffset>
            </wp:positionV>
            <wp:extent cx="603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-170815</wp:posOffset>
            </wp:positionV>
            <wp:extent cx="596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Refer to Note 15 for revenue by reportable segment, geography and groupings of similar products.</w:t>
      </w:r>
    </w:p>
    <w:p>
      <w:pPr>
        <w:spacing w:after="0" w:line="1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 w:name="page9"/>
    <w:bookmarkEnd w:id="8"/>
    <w:p>
      <w:pPr>
        <w:jc w:val="center"/>
        <w:ind w:right="-31"/>
        <w:spacing w:after="0"/>
        <w:rPr>
          <w:sz w:val="20"/>
          <w:szCs w:val="20"/>
          <w:color w:val="auto"/>
        </w:rPr>
      </w:pPr>
      <w:r>
        <w:rPr>
          <w:rFonts w:ascii="Times New Roman" w:cs="Times New Roman" w:eastAsia="Times New Roman" w:hAnsi="Times New Roman"/>
          <w:sz w:val="18"/>
          <w:szCs w:val="18"/>
          <w:color w:val="auto"/>
        </w:rPr>
        <w:t>MKS INC.</w:t>
      </w:r>
    </w:p>
    <w:p>
      <w:pPr>
        <w:spacing w:after="0" w:line="27"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200" w:lineRule="exact"/>
        <w:rPr>
          <w:sz w:val="20"/>
          <w:szCs w:val="20"/>
          <w:color w:val="auto"/>
        </w:rPr>
      </w:pPr>
    </w:p>
    <w:p>
      <w:pPr>
        <w:spacing w:after="0" w:line="219" w:lineRule="exact"/>
        <w:rPr>
          <w:sz w:val="20"/>
          <w:szCs w:val="20"/>
          <w:color w:val="auto"/>
        </w:rPr>
      </w:pPr>
    </w:p>
    <w:p>
      <w:pPr>
        <w:ind w:left="752" w:hanging="752"/>
        <w:spacing w:after="0"/>
        <w:tabs>
          <w:tab w:leader="none" w:pos="752"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rFonts w:ascii="Times New Roman" w:cs="Times New Roman" w:eastAsia="Times New Roman" w:hAnsi="Times New Roman"/>
          <w:sz w:val="18"/>
          <w:szCs w:val="18"/>
          <w:b w:val="1"/>
          <w:bCs w:val="1"/>
          <w:color w:val="auto"/>
        </w:rPr>
      </w:pPr>
    </w:p>
    <w:p>
      <w:pPr>
        <w:jc w:val="both"/>
        <w:ind w:left="752" w:right="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accordance with the provisions of fair value accounting, a fair value measurement assumes that the transaction to sell an asset or transfer a liability occurs in the principal market for the asset or liability or, in the absence of a principal market, the most advantageous market for the asset or liability and defines fair value based upon an exit price model.</w:t>
      </w:r>
    </w:p>
    <w:p>
      <w:pPr>
        <w:spacing w:after="0" w:line="68" w:lineRule="exact"/>
        <w:rPr>
          <w:sz w:val="20"/>
          <w:szCs w:val="20"/>
          <w:color w:val="auto"/>
        </w:rPr>
      </w:pPr>
    </w:p>
    <w:p>
      <w:pPr>
        <w:ind w:left="752" w:right="160"/>
        <w:spacing w:after="0" w:line="266" w:lineRule="auto"/>
        <w:rPr>
          <w:sz w:val="20"/>
          <w:szCs w:val="20"/>
          <w:color w:val="auto"/>
        </w:rPr>
      </w:pPr>
      <w:r>
        <w:rPr>
          <w:rFonts w:ascii="Times New Roman" w:cs="Times New Roman" w:eastAsia="Times New Roman" w:hAnsi="Times New Roman"/>
          <w:sz w:val="18"/>
          <w:szCs w:val="18"/>
          <w:color w:val="auto"/>
        </w:rPr>
        <w:t>The fair value measurement guidance establishes a fair value hierarchy which requires an entity to maximize the use of observable inputs and minimize the use of unobservable inputs when measuring fair value. The guidance describes three levels of inputs that may be used to measure fair value:</w:t>
      </w:r>
    </w:p>
    <w:p>
      <w:pPr>
        <w:spacing w:after="0" w:line="68" w:lineRule="exact"/>
        <w:rPr>
          <w:sz w:val="20"/>
          <w:szCs w:val="20"/>
          <w:color w:val="auto"/>
        </w:rPr>
      </w:pPr>
    </w:p>
    <w:p>
      <w:pPr>
        <w:ind w:left="1492" w:right="40" w:hanging="694"/>
        <w:spacing w:after="0" w:line="282" w:lineRule="auto"/>
        <w:rPr>
          <w:sz w:val="20"/>
          <w:szCs w:val="20"/>
          <w:color w:val="auto"/>
        </w:rPr>
      </w:pPr>
      <w:r>
        <w:rPr>
          <w:rFonts w:ascii="Times New Roman" w:cs="Times New Roman" w:eastAsia="Times New Roman" w:hAnsi="Times New Roman"/>
          <w:sz w:val="18"/>
          <w:szCs w:val="18"/>
          <w:color w:val="auto"/>
        </w:rPr>
        <w:t>Level 1 Quoted prices in active markets for identical assets or liabilities as of the reporting date. Active markets are those in which transactions for the asset or liability occur in sufficient frequency and volume to provide pricing information on an ongoing basis.</w:t>
      </w:r>
    </w:p>
    <w:p>
      <w:pPr>
        <w:spacing w:after="0" w:line="54" w:lineRule="exact"/>
        <w:rPr>
          <w:sz w:val="20"/>
          <w:szCs w:val="20"/>
          <w:color w:val="auto"/>
        </w:rPr>
      </w:pPr>
    </w:p>
    <w:p>
      <w:pPr>
        <w:ind w:left="1492" w:right="40" w:hanging="694"/>
        <w:spacing w:after="0" w:line="258" w:lineRule="auto"/>
        <w:rPr>
          <w:sz w:val="20"/>
          <w:szCs w:val="20"/>
          <w:color w:val="auto"/>
        </w:rPr>
      </w:pPr>
      <w:r>
        <w:rPr>
          <w:rFonts w:ascii="Times New Roman" w:cs="Times New Roman" w:eastAsia="Times New Roman" w:hAnsi="Times New Roman"/>
          <w:sz w:val="18"/>
          <w:szCs w:val="18"/>
          <w:color w:val="auto"/>
        </w:rPr>
        <w:t>Level 2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Level 2 assets and liabilities include debt securities with quoted prices that are traded less frequently than exchange-traded instruments or securities or derivative contracts that are valued using a pricing model with inputs that are observable in the market or can be derived principally from or corroborated by observable market data.</w:t>
      </w:r>
    </w:p>
    <w:p>
      <w:pPr>
        <w:spacing w:after="0" w:line="75" w:lineRule="exact"/>
        <w:rPr>
          <w:sz w:val="20"/>
          <w:szCs w:val="20"/>
          <w:color w:val="auto"/>
        </w:rPr>
      </w:pPr>
    </w:p>
    <w:p>
      <w:pPr>
        <w:ind w:left="1492" w:hanging="694"/>
        <w:spacing w:after="0" w:line="261" w:lineRule="auto"/>
        <w:rPr>
          <w:sz w:val="20"/>
          <w:szCs w:val="20"/>
          <w:color w:val="auto"/>
        </w:rPr>
      </w:pPr>
      <w:r>
        <w:rPr>
          <w:rFonts w:ascii="Times New Roman" w:cs="Times New Roman" w:eastAsia="Times New Roman" w:hAnsi="Times New Roman"/>
          <w:sz w:val="18"/>
          <w:szCs w:val="18"/>
          <w:color w:val="auto"/>
        </w:rPr>
        <w:t>Level 3 Unobservable inputs that are supported by little or no market activity and that are significant to the fair value of the assets or liabilities.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w:t>
      </w:r>
    </w:p>
    <w:p>
      <w:pPr>
        <w:spacing w:after="0" w:line="72" w:lineRule="exact"/>
        <w:rPr>
          <w:sz w:val="20"/>
          <w:szCs w:val="20"/>
          <w:color w:val="auto"/>
        </w:rPr>
      </w:pPr>
    </w:p>
    <w:p>
      <w:pPr>
        <w:ind w:left="752" w:right="380"/>
        <w:spacing w:after="0" w:line="261"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In such cases, the Company categorizes such assets and liabilities based on the lowest level input that is significant to the fair value measurement in its entirety. The Company’s assessment of the significance of a particular input to the fair value measurement in its entirety requires judgment and considers factors specific to the asset or liability.</w:t>
      </w:r>
    </w:p>
    <w:p>
      <w:pPr>
        <w:spacing w:after="0" w:line="13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769" w:right="379" w:bottom="1440" w:gutter="0" w:footer="0" w:header="0"/>
        </w:sectPr>
      </w:pPr>
    </w:p>
    <w:bookmarkStart w:id="9" w:name="page10"/>
    <w:bookmarkEnd w:id="9"/>
    <w:p>
      <w:pPr>
        <w:jc w:val="center"/>
        <w:ind w:right="730"/>
        <w:spacing w:after="0"/>
        <w:rPr>
          <w:sz w:val="20"/>
          <w:szCs w:val="20"/>
          <w:color w:val="auto"/>
        </w:rPr>
      </w:pPr>
      <w:r>
        <w:rPr>
          <w:rFonts w:ascii="Times New Roman" w:cs="Times New Roman" w:eastAsia="Times New Roman" w:hAnsi="Times New Roman"/>
          <w:sz w:val="18"/>
          <w:szCs w:val="18"/>
          <w:color w:val="auto"/>
        </w:rPr>
        <w:t>MKS INC.</w:t>
      </w:r>
    </w:p>
    <w:p>
      <w:pPr>
        <w:spacing w:after="0" w:line="27" w:lineRule="exact"/>
        <w:rPr>
          <w:sz w:val="20"/>
          <w:szCs w:val="20"/>
          <w:color w:val="auto"/>
        </w:rPr>
      </w:pPr>
    </w:p>
    <w:p>
      <w:pPr>
        <w:jc w:val="center"/>
        <w:ind w:right="730"/>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ind w:right="730"/>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31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Assets and liabilities of the Company are measured at fair value on a recurring basis as of September 30, 2026, and are summarized as follows:</w:t>
      </w: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171"/>
        </w:trPr>
        <w:tc>
          <w:tcPr>
            <w:tcW w:w="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360" w:type="dxa"/>
            <w:vAlign w:val="bottom"/>
            <w:tcBorders>
              <w:bottom w:val="single" w:sz="8" w:color="auto"/>
            </w:tcBorders>
            <w:gridSpan w:val="9"/>
          </w:tcPr>
          <w:p>
            <w:pPr>
              <w:ind w:left="640"/>
              <w:spacing w:after="0"/>
              <w:rPr>
                <w:sz w:val="20"/>
                <w:szCs w:val="20"/>
                <w:color w:val="auto"/>
              </w:rPr>
            </w:pPr>
            <w:r>
              <w:rPr>
                <w:rFonts w:ascii="Times New Roman" w:cs="Times New Roman" w:eastAsia="Times New Roman" w:hAnsi="Times New Roman"/>
                <w:sz w:val="14"/>
                <w:szCs w:val="14"/>
                <w:color w:val="auto"/>
              </w:rPr>
              <w:t>Fair Value Measurements at Reporting Date Using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vMerge w:val="restart"/>
          </w:tcPr>
          <w:p>
            <w:pPr>
              <w:jc w:val="center"/>
              <w:ind w:right="81"/>
              <w:spacing w:after="0"/>
              <w:rPr>
                <w:sz w:val="20"/>
                <w:szCs w:val="20"/>
                <w:color w:val="auto"/>
              </w:rPr>
            </w:pPr>
            <w:r>
              <w:rPr>
                <w:rFonts w:ascii="Times New Roman" w:cs="Times New Roman" w:eastAsia="Times New Roman" w:hAnsi="Times New Roman"/>
                <w:sz w:val="14"/>
                <w:szCs w:val="14"/>
                <w:color w:val="auto"/>
              </w:rPr>
              <w:t>Quoted Prices in</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jc w:val="center"/>
              <w:ind w:right="142"/>
              <w:spacing w:after="0" w:line="119" w:lineRule="exact"/>
              <w:rPr>
                <w:sz w:val="20"/>
                <w:szCs w:val="20"/>
                <w:color w:val="auto"/>
              </w:rPr>
            </w:pPr>
            <w:r>
              <w:rPr>
                <w:rFonts w:ascii="Times New Roman" w:cs="Times New Roman" w:eastAsia="Times New Roman" w:hAnsi="Times New Roman"/>
                <w:sz w:val="13"/>
                <w:szCs w:val="13"/>
                <w:color w:val="auto"/>
              </w:rPr>
              <w:t>Significant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color w:val="auto"/>
              </w:rPr>
              <w:t>Significant</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142"/>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ind w:right="101"/>
              <w:spacing w:after="0" w:line="149" w:lineRule="exact"/>
              <w:rPr>
                <w:sz w:val="20"/>
                <w:szCs w:val="20"/>
                <w:color w:val="auto"/>
              </w:rPr>
            </w:pPr>
            <w:r>
              <w:rPr>
                <w:rFonts w:ascii="Times New Roman" w:cs="Times New Roman" w:eastAsia="Times New Roman" w:hAnsi="Times New Roman"/>
                <w:sz w:val="14"/>
                <w:szCs w:val="14"/>
                <w:color w:val="auto"/>
              </w:rPr>
              <w:t>Active Markets for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142"/>
              <w:spacing w:after="0" w:line="149" w:lineRule="exact"/>
              <w:rPr>
                <w:sz w:val="20"/>
                <w:szCs w:val="20"/>
                <w:color w:val="auto"/>
              </w:rPr>
            </w:pPr>
            <w:r>
              <w:rPr>
                <w:rFonts w:ascii="Times New Roman" w:cs="Times New Roman" w:eastAsia="Times New Roman" w:hAnsi="Times New Roman"/>
                <w:sz w:val="14"/>
                <w:szCs w:val="14"/>
                <w:color w:val="auto"/>
              </w:rPr>
              <w:t>Observable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Unobservable</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ind w:right="121"/>
              <w:spacing w:after="0" w:line="149" w:lineRule="exact"/>
              <w:rPr>
                <w:sz w:val="20"/>
                <w:szCs w:val="20"/>
                <w:color w:val="auto"/>
              </w:rPr>
            </w:pPr>
            <w:r>
              <w:rPr>
                <w:rFonts w:ascii="Times New Roman" w:cs="Times New Roman" w:eastAsia="Times New Roman" w:hAnsi="Times New Roman"/>
                <w:sz w:val="14"/>
                <w:szCs w:val="14"/>
                <w:color w:val="auto"/>
              </w:rPr>
              <w:t>Identical Assets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122"/>
              <w:spacing w:after="0" w:line="149" w:lineRule="exact"/>
              <w:rPr>
                <w:sz w:val="20"/>
                <w:szCs w:val="20"/>
                <w:color w:val="auto"/>
              </w:rPr>
            </w:pPr>
            <w:r>
              <w:rPr>
                <w:rFonts w:ascii="Times New Roman" w:cs="Times New Roman" w:eastAsia="Times New Roman" w:hAnsi="Times New Roman"/>
                <w:sz w:val="14"/>
                <w:szCs w:val="14"/>
                <w:color w:val="auto"/>
              </w:rPr>
              <w:t>Inputs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Inputs</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Description</w:t>
            </w:r>
          </w:p>
        </w:tc>
        <w:tc>
          <w:tcPr>
            <w:tcW w:w="10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September 30, 2026</w:t>
            </w:r>
          </w:p>
        </w:tc>
        <w:tc>
          <w:tcPr>
            <w:tcW w:w="160" w:type="dxa"/>
            <w:vAlign w:val="bottom"/>
          </w:tcPr>
          <w:p>
            <w:pPr>
              <w:spacing w:after="0"/>
              <w:rPr>
                <w:sz w:val="14"/>
                <w:szCs w:val="14"/>
                <w:color w:val="auto"/>
              </w:rPr>
            </w:pPr>
          </w:p>
        </w:tc>
        <w:tc>
          <w:tcPr>
            <w:tcW w:w="1400" w:type="dxa"/>
            <w:vAlign w:val="bottom"/>
          </w:tcPr>
          <w:p>
            <w:pPr>
              <w:jc w:val="center"/>
              <w:ind w:right="101"/>
              <w:spacing w:after="0"/>
              <w:rPr>
                <w:sz w:val="20"/>
                <w:szCs w:val="20"/>
                <w:color w:val="auto"/>
              </w:rPr>
            </w:pPr>
            <w:r>
              <w:rPr>
                <w:rFonts w:ascii="Times New Roman" w:cs="Times New Roman" w:eastAsia="Times New Roman" w:hAnsi="Times New Roman"/>
                <w:sz w:val="14"/>
                <w:szCs w:val="14"/>
                <w:color w:val="auto"/>
              </w:rPr>
              <w:t>(Level 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center"/>
              <w:ind w:right="142"/>
              <w:spacing w:after="0"/>
              <w:rPr>
                <w:sz w:val="20"/>
                <w:szCs w:val="20"/>
                <w:color w:val="auto"/>
              </w:rPr>
            </w:pPr>
            <w:r>
              <w:rPr>
                <w:rFonts w:ascii="Times New Roman" w:cs="Times New Roman" w:eastAsia="Times New Roman" w:hAnsi="Times New Roman"/>
                <w:sz w:val="14"/>
                <w:szCs w:val="14"/>
                <w:color w:val="auto"/>
              </w:rPr>
              <w:t>(Level 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(Level 3)</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Assets:</w:t>
            </w:r>
          </w:p>
        </w:tc>
        <w:tc>
          <w:tcPr>
            <w:tcW w:w="10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428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Cash equivalents</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42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Money market funds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380" w:type="dxa"/>
            <w:vAlign w:val="bottom"/>
            <w:gridSpan w:val="3"/>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3"/>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FF0FC"/>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2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Time deposits</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2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5"/>
                <w:szCs w:val="15"/>
                <w:color w:val="auto"/>
              </w:rPr>
              <w:t>Equity securities</w:t>
            </w: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428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Available-for-sale securities:</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42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Group insurance contracts</w:t>
            </w: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428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Derivatives</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42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Foreign exchange forward contracts</w:t>
            </w: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2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Interest rate swaps - non-current</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280" w:type="dxa"/>
            <w:vAlign w:val="bottom"/>
            <w:tcBorders>
              <w:bottom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5"/>
                <w:szCs w:val="15"/>
                <w:color w:val="auto"/>
              </w:rPr>
              <w:t>Pension and deferred compensation plan assets</w:t>
            </w:r>
          </w:p>
        </w:tc>
        <w:tc>
          <w:tcPr>
            <w:tcW w:w="10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ind w:left="9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28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Total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38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36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4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Liabilities:</w:t>
            </w:r>
          </w:p>
        </w:tc>
        <w:tc>
          <w:tcPr>
            <w:tcW w:w="10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428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Derivatives</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4280" w:type="dxa"/>
            <w:vAlign w:val="bottom"/>
            <w:tcBorders>
              <w:bottom w:val="single" w:sz="8" w:color="CFF0FC"/>
            </w:tcBorders>
            <w:gridSpan w:val="2"/>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Foreign exchange forward contracts - current</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FF0FC"/>
            </w:tcBorders>
            <w:gridSpan w:val="2"/>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80" w:type="dxa"/>
            <w:vAlign w:val="bottom"/>
            <w:tcBorders>
              <w:bottom w:val="single" w:sz="8" w:color="CFF0FC"/>
            </w:tcBorders>
            <w:gridSpan w:val="2"/>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shd w:val="clear" w:color="auto" w:fill="CFF0FC"/>
          </w:tcPr>
          <w:p>
            <w:pPr>
              <w:ind w:left="9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28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Total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36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4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Reported as follows:</w:t>
            </w:r>
          </w:p>
        </w:tc>
        <w:tc>
          <w:tcPr>
            <w:tcW w:w="10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Assets:</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4280" w:type="dxa"/>
            <w:vAlign w:val="bottom"/>
            <w:gridSpan w:val="2"/>
            <w:shd w:val="clear" w:color="auto" w:fill="CFF0FC"/>
          </w:tcPr>
          <w:p>
            <w:pPr>
              <w:ind w:left="80"/>
              <w:spacing w:after="0" w:line="205" w:lineRule="exact"/>
              <w:rPr>
                <w:sz w:val="20"/>
                <w:szCs w:val="20"/>
                <w:color w:val="auto"/>
              </w:rPr>
            </w:pPr>
            <w:r>
              <w:rPr>
                <w:rFonts w:ascii="Times New Roman" w:cs="Times New Roman" w:eastAsia="Times New Roman" w:hAnsi="Times New Roman"/>
                <w:sz w:val="15"/>
                <w:szCs w:val="15"/>
                <w:color w:val="auto"/>
              </w:rPr>
              <w:t>Cash and cash equivalents</w:t>
            </w:r>
            <w:r>
              <w:rPr>
                <w:rFonts w:ascii="Times New Roman" w:cs="Times New Roman" w:eastAsia="Times New Roman" w:hAnsi="Times New Roman"/>
                <w:sz w:val="20"/>
                <w:szCs w:val="20"/>
                <w:color w:val="auto"/>
                <w:vertAlign w:val="superscript"/>
              </w:rPr>
              <w:t>(1)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380" w:type="dxa"/>
            <w:vAlign w:val="bottom"/>
            <w:gridSpan w:val="3"/>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360" w:type="dxa"/>
            <w:vAlign w:val="bottom"/>
            <w:gridSpan w:val="3"/>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FF0FC"/>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28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Other current assets</w:t>
            </w: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428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5"/>
                <w:szCs w:val="15"/>
                <w:color w:val="auto"/>
              </w:rPr>
              <w:t>Total current assets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80" w:type="dxa"/>
            <w:vAlign w:val="bottom"/>
            <w:tcBorders>
              <w:bottom w:val="single" w:sz="8" w:color="CFF0FC"/>
            </w:tcBorders>
            <w:gridSpan w:val="2"/>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80" w:type="dxa"/>
            <w:vAlign w:val="bottom"/>
            <w:tcBorders>
              <w:bottom w:val="single" w:sz="8" w:color="CFF0FC"/>
            </w:tcBorders>
            <w:gridSpan w:val="2"/>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shd w:val="clear" w:color="auto" w:fill="CFF0FC"/>
          </w:tcPr>
          <w:p>
            <w:pPr>
              <w:ind w:left="9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428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Other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380" w:type="dxa"/>
            <w:vAlign w:val="bottom"/>
            <w:gridSpan w:val="3"/>
          </w:tcPr>
          <w:p>
            <w:pPr>
              <w:jc w:val="right"/>
              <w:ind w:right="39"/>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36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4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Liabilities:</w:t>
            </w:r>
          </w:p>
        </w:tc>
        <w:tc>
          <w:tcPr>
            <w:tcW w:w="10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28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Other current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36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2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3609340</wp:posOffset>
            </wp:positionH>
            <wp:positionV relativeFrom="paragraph">
              <wp:posOffset>-1919605</wp:posOffset>
            </wp:positionV>
            <wp:extent cx="60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4714875</wp:posOffset>
            </wp:positionH>
            <wp:positionV relativeFrom="paragraph">
              <wp:posOffset>-1919605</wp:posOffset>
            </wp:positionV>
            <wp:extent cx="596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-1919605</wp:posOffset>
            </wp:positionV>
            <wp:extent cx="596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6600825</wp:posOffset>
            </wp:positionH>
            <wp:positionV relativeFrom="paragraph">
              <wp:posOffset>-1919605</wp:posOffset>
            </wp:positionV>
            <wp:extent cx="596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-1370965</wp:posOffset>
            </wp:positionV>
            <wp:extent cx="603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4714875</wp:posOffset>
            </wp:positionH>
            <wp:positionV relativeFrom="paragraph">
              <wp:posOffset>-1370965</wp:posOffset>
            </wp:positionV>
            <wp:extent cx="596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-1370965</wp:posOffset>
            </wp:positionV>
            <wp:extent cx="596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6600825</wp:posOffset>
            </wp:positionH>
            <wp:positionV relativeFrom="paragraph">
              <wp:posOffset>-1370965</wp:posOffset>
            </wp:positionV>
            <wp:extent cx="596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-556895</wp:posOffset>
            </wp:positionV>
            <wp:extent cx="603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3609340</wp:posOffset>
            </wp:positionH>
            <wp:positionV relativeFrom="paragraph">
              <wp:posOffset>-539115</wp:posOffset>
            </wp:positionV>
            <wp:extent cx="603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4714875</wp:posOffset>
            </wp:positionH>
            <wp:positionV relativeFrom="paragraph">
              <wp:posOffset>-556895</wp:posOffset>
            </wp:positionV>
            <wp:extent cx="5969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4714875</wp:posOffset>
            </wp:positionH>
            <wp:positionV relativeFrom="paragraph">
              <wp:posOffset>-539115</wp:posOffset>
            </wp:positionV>
            <wp:extent cx="596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-556895</wp:posOffset>
            </wp:positionV>
            <wp:extent cx="596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-539115</wp:posOffset>
            </wp:positionV>
            <wp:extent cx="596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6600825</wp:posOffset>
            </wp:positionH>
            <wp:positionV relativeFrom="paragraph">
              <wp:posOffset>-556895</wp:posOffset>
            </wp:positionV>
            <wp:extent cx="5969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6600825</wp:posOffset>
            </wp:positionH>
            <wp:positionV relativeFrom="paragraph">
              <wp:posOffset>-539115</wp:posOffset>
            </wp:positionV>
            <wp:extent cx="5969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ind w:left="390" w:hanging="390"/>
        <w:spacing w:after="0"/>
        <w:tabs>
          <w:tab w:leader="none" w:pos="390" w:val="left"/>
        </w:tabs>
        <w:numPr>
          <w:ilvl w:val="0"/>
          <w:numId w:val="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cash and cash equivalents amount presented in the table above does not include cash of $511 as of September 30, 2026.</w:t>
      </w:r>
    </w:p>
    <w:p>
      <w:pPr>
        <w:spacing w:after="0" w:line="184" w:lineRule="exact"/>
        <w:rPr>
          <w:rFonts w:ascii="Times New Roman" w:cs="Times New Roman" w:eastAsia="Times New Roman" w:hAnsi="Times New Roman"/>
          <w:sz w:val="24"/>
          <w:szCs w:val="24"/>
          <w:color w:val="auto"/>
          <w:vertAlign w:val="superscript"/>
        </w:rPr>
      </w:pPr>
    </w:p>
    <w:p>
      <w:pPr>
        <w:ind w:left="4790"/>
        <w:spacing w:after="0"/>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90"/>
          </w:cols>
          <w:pgMar w:left="1070" w:top="769" w:right="339" w:bottom="1440" w:gutter="0" w:footer="0" w:header="0"/>
        </w:sectPr>
      </w:pPr>
    </w:p>
    <w:bookmarkStart w:id="10" w:name="page11"/>
    <w:bookmarkEnd w:id="10"/>
    <w:p>
      <w:pPr>
        <w:jc w:val="center"/>
        <w:ind w:right="730"/>
        <w:spacing w:after="0"/>
        <w:rPr>
          <w:sz w:val="20"/>
          <w:szCs w:val="20"/>
          <w:color w:val="auto"/>
        </w:rPr>
      </w:pPr>
      <w:r>
        <w:rPr>
          <w:rFonts w:ascii="Times New Roman" w:cs="Times New Roman" w:eastAsia="Times New Roman" w:hAnsi="Times New Roman"/>
          <w:sz w:val="18"/>
          <w:szCs w:val="18"/>
          <w:color w:val="auto"/>
        </w:rPr>
        <w:t>MKS INC.</w:t>
      </w:r>
    </w:p>
    <w:p>
      <w:pPr>
        <w:spacing w:after="0" w:line="27" w:lineRule="exact"/>
        <w:rPr>
          <w:sz w:val="20"/>
          <w:szCs w:val="20"/>
          <w:color w:val="auto"/>
        </w:rPr>
      </w:pPr>
    </w:p>
    <w:p>
      <w:pPr>
        <w:jc w:val="center"/>
        <w:ind w:right="730"/>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ind w:right="730"/>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31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Assets and liabilities of the Company are measured at fair value on a recurring basis as of December 31, 2025, and are summarized as follows:</w:t>
      </w: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171"/>
        </w:trPr>
        <w:tc>
          <w:tcPr>
            <w:tcW w:w="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360" w:type="dxa"/>
            <w:vAlign w:val="bottom"/>
            <w:tcBorders>
              <w:bottom w:val="single" w:sz="8" w:color="auto"/>
            </w:tcBorders>
            <w:gridSpan w:val="8"/>
          </w:tcPr>
          <w:p>
            <w:pPr>
              <w:jc w:val="right"/>
              <w:ind w:right="724"/>
              <w:spacing w:after="0"/>
              <w:rPr>
                <w:sz w:val="20"/>
                <w:szCs w:val="20"/>
                <w:color w:val="auto"/>
              </w:rPr>
            </w:pPr>
            <w:r>
              <w:rPr>
                <w:rFonts w:ascii="Times New Roman" w:cs="Times New Roman" w:eastAsia="Times New Roman" w:hAnsi="Times New Roman"/>
                <w:sz w:val="14"/>
                <w:szCs w:val="14"/>
                <w:color w:val="auto"/>
              </w:rPr>
              <w:t>Fair Value Measurements at Reporting Date Using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vMerge w:val="restart"/>
          </w:tcPr>
          <w:p>
            <w:pPr>
              <w:jc w:val="center"/>
              <w:ind w:right="84"/>
              <w:spacing w:after="0"/>
              <w:rPr>
                <w:sz w:val="20"/>
                <w:szCs w:val="20"/>
                <w:color w:val="auto"/>
              </w:rPr>
            </w:pPr>
            <w:r>
              <w:rPr>
                <w:rFonts w:ascii="Times New Roman" w:cs="Times New Roman" w:eastAsia="Times New Roman" w:hAnsi="Times New Roman"/>
                <w:sz w:val="14"/>
                <w:szCs w:val="14"/>
                <w:color w:val="auto"/>
              </w:rPr>
              <w:t>Quoted Prices in</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jc w:val="center"/>
              <w:ind w:right="125"/>
              <w:spacing w:after="0" w:line="119" w:lineRule="exact"/>
              <w:rPr>
                <w:sz w:val="20"/>
                <w:szCs w:val="20"/>
                <w:color w:val="auto"/>
              </w:rPr>
            </w:pPr>
            <w:r>
              <w:rPr>
                <w:rFonts w:ascii="Times New Roman" w:cs="Times New Roman" w:eastAsia="Times New Roman" w:hAnsi="Times New Roman"/>
                <w:sz w:val="13"/>
                <w:szCs w:val="13"/>
                <w:color w:val="auto"/>
              </w:rPr>
              <w:t>Significant</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Significant</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125"/>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color w:val="auto"/>
              </w:rPr>
              <w:t>Active Markets for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125"/>
              <w:spacing w:after="0" w:line="149" w:lineRule="exact"/>
              <w:rPr>
                <w:sz w:val="20"/>
                <w:szCs w:val="20"/>
                <w:color w:val="auto"/>
              </w:rPr>
            </w:pPr>
            <w:r>
              <w:rPr>
                <w:rFonts w:ascii="Times New Roman" w:cs="Times New Roman" w:eastAsia="Times New Roman" w:hAnsi="Times New Roman"/>
                <w:sz w:val="14"/>
                <w:szCs w:val="14"/>
                <w:color w:val="auto"/>
              </w:rPr>
              <w:t>Observable</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Unobservable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jc w:val="center"/>
              <w:ind w:right="104"/>
              <w:spacing w:after="0" w:line="149" w:lineRule="exact"/>
              <w:rPr>
                <w:sz w:val="20"/>
                <w:szCs w:val="20"/>
                <w:color w:val="auto"/>
              </w:rPr>
            </w:pPr>
            <w:r>
              <w:rPr>
                <w:rFonts w:ascii="Times New Roman" w:cs="Times New Roman" w:eastAsia="Times New Roman" w:hAnsi="Times New Roman"/>
                <w:sz w:val="14"/>
                <w:szCs w:val="14"/>
                <w:color w:val="auto"/>
              </w:rPr>
              <w:t>Identical Assets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125"/>
              <w:spacing w:after="0" w:line="149" w:lineRule="exact"/>
              <w:rPr>
                <w:sz w:val="20"/>
                <w:szCs w:val="20"/>
                <w:color w:val="auto"/>
              </w:rPr>
            </w:pPr>
            <w:r>
              <w:rPr>
                <w:rFonts w:ascii="Times New Roman" w:cs="Times New Roman" w:eastAsia="Times New Roman" w:hAnsi="Times New Roman"/>
                <w:sz w:val="14"/>
                <w:szCs w:val="14"/>
                <w:color w:val="auto"/>
              </w:rPr>
              <w:t>Inputs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Inputs</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Description</w:t>
            </w:r>
          </w:p>
        </w:tc>
        <w:tc>
          <w:tcPr>
            <w:tcW w:w="80" w:type="dxa"/>
            <w:vAlign w:val="bottom"/>
          </w:tcPr>
          <w:p>
            <w:pPr>
              <w:spacing w:after="0"/>
              <w:rPr>
                <w:sz w:val="14"/>
                <w:szCs w:val="14"/>
                <w:color w:val="auto"/>
              </w:rPr>
            </w:pPr>
          </w:p>
        </w:tc>
        <w:tc>
          <w:tcPr>
            <w:tcW w:w="1280" w:type="dxa"/>
            <w:vAlign w:val="bottom"/>
          </w:tcPr>
          <w:p>
            <w:pPr>
              <w:jc w:val="right"/>
              <w:ind w:right="44"/>
              <w:spacing w:after="0"/>
              <w:rPr>
                <w:sz w:val="20"/>
                <w:szCs w:val="20"/>
                <w:color w:val="auto"/>
              </w:rPr>
            </w:pPr>
            <w:r>
              <w:rPr>
                <w:rFonts w:ascii="Times New Roman" w:cs="Times New Roman" w:eastAsia="Times New Roman" w:hAnsi="Times New Roman"/>
                <w:sz w:val="14"/>
                <w:szCs w:val="14"/>
                <w:color w:val="auto"/>
              </w:rPr>
              <w:t>December 31, 2025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center"/>
              <w:ind w:right="64"/>
              <w:spacing w:after="0"/>
              <w:rPr>
                <w:sz w:val="20"/>
                <w:szCs w:val="20"/>
                <w:color w:val="auto"/>
              </w:rPr>
            </w:pPr>
            <w:r>
              <w:rPr>
                <w:rFonts w:ascii="Times New Roman" w:cs="Times New Roman" w:eastAsia="Times New Roman" w:hAnsi="Times New Roman"/>
                <w:sz w:val="14"/>
                <w:szCs w:val="14"/>
                <w:color w:val="auto"/>
              </w:rPr>
              <w:t>(Level 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125"/>
              <w:spacing w:after="0"/>
              <w:rPr>
                <w:sz w:val="20"/>
                <w:szCs w:val="20"/>
                <w:color w:val="auto"/>
              </w:rPr>
            </w:pPr>
            <w:r>
              <w:rPr>
                <w:rFonts w:ascii="Times New Roman" w:cs="Times New Roman" w:eastAsia="Times New Roman" w:hAnsi="Times New Roman"/>
                <w:sz w:val="14"/>
                <w:szCs w:val="14"/>
                <w:color w:val="auto"/>
              </w:rPr>
              <w:t>(Level 2)</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(Level 3)</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4280" w:type="dxa"/>
            <w:vAlign w:val="bottom"/>
            <w:gridSpan w:val="2"/>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Assets:</w:t>
            </w:r>
          </w:p>
        </w:tc>
        <w:tc>
          <w:tcPr>
            <w:tcW w:w="80" w:type="dxa"/>
            <w:vAlign w:val="bottom"/>
            <w:tcBorders>
              <w:top w:val="single" w:sz="8" w:color="auto"/>
            </w:tcBorders>
            <w:shd w:val="clear" w:color="auto" w:fill="CFF0FC"/>
          </w:tcPr>
          <w:p>
            <w:pPr>
              <w:spacing w:after="0"/>
              <w:rPr>
                <w:sz w:val="13"/>
                <w:szCs w:val="13"/>
                <w:color w:val="auto"/>
              </w:rPr>
            </w:pPr>
          </w:p>
        </w:tc>
        <w:tc>
          <w:tcPr>
            <w:tcW w:w="128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40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080" w:type="dxa"/>
            <w:vAlign w:val="bottom"/>
            <w:tcBorders>
              <w:top w:val="single" w:sz="8" w:color="auto"/>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16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280" w:type="dxa"/>
            <w:vAlign w:val="bottom"/>
            <w:gridSpan w:val="2"/>
          </w:tcPr>
          <w:p>
            <w:pPr>
              <w:ind w:left="80"/>
              <w:spacing w:after="0" w:line="162" w:lineRule="exact"/>
              <w:rPr>
                <w:sz w:val="20"/>
                <w:szCs w:val="20"/>
                <w:color w:val="auto"/>
              </w:rPr>
            </w:pPr>
            <w:r>
              <w:rPr>
                <w:rFonts w:ascii="Times New Roman" w:cs="Times New Roman" w:eastAsia="Times New Roman" w:hAnsi="Times New Roman"/>
                <w:sz w:val="15"/>
                <w:szCs w:val="15"/>
                <w:color w:val="auto"/>
              </w:rPr>
              <w:t>Cash equivalents</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280" w:type="dxa"/>
            <w:vAlign w:val="bottom"/>
            <w:gridSpan w:val="2"/>
            <w:shd w:val="clear" w:color="auto" w:fill="CFF0FC"/>
          </w:tcPr>
          <w:p>
            <w:pPr>
              <w:ind w:left="160"/>
              <w:spacing w:after="0" w:line="162" w:lineRule="exact"/>
              <w:rPr>
                <w:sz w:val="20"/>
                <w:szCs w:val="20"/>
                <w:color w:val="auto"/>
              </w:rPr>
            </w:pPr>
            <w:r>
              <w:rPr>
                <w:rFonts w:ascii="Times New Roman" w:cs="Times New Roman" w:eastAsia="Times New Roman" w:hAnsi="Times New Roman"/>
                <w:sz w:val="15"/>
                <w:szCs w:val="15"/>
                <w:color w:val="auto"/>
              </w:rPr>
              <w:t>Money market funds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246</w:t>
            </w:r>
          </w:p>
        </w:tc>
        <w:tc>
          <w:tcPr>
            <w:tcW w:w="340" w:type="dxa"/>
            <w:vAlign w:val="bottom"/>
            <w:gridSpan w:val="3"/>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246</w:t>
            </w:r>
          </w:p>
        </w:tc>
        <w:tc>
          <w:tcPr>
            <w:tcW w:w="380" w:type="dxa"/>
            <w:vAlign w:val="bottom"/>
            <w:gridSpan w:val="3"/>
            <w:shd w:val="clear" w:color="auto" w:fill="CFF0FC"/>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34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shd w:val="clear" w:color="auto" w:fill="CFF0FC"/>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280" w:type="dxa"/>
            <w:vAlign w:val="bottom"/>
            <w:gridSpan w:val="2"/>
          </w:tcPr>
          <w:p>
            <w:pPr>
              <w:ind w:left="160"/>
              <w:spacing w:after="0" w:line="162" w:lineRule="exact"/>
              <w:rPr>
                <w:sz w:val="20"/>
                <w:szCs w:val="20"/>
                <w:color w:val="auto"/>
              </w:rPr>
            </w:pPr>
            <w:r>
              <w:rPr>
                <w:rFonts w:ascii="Times New Roman" w:cs="Times New Roman" w:eastAsia="Times New Roman" w:hAnsi="Times New Roman"/>
                <w:sz w:val="15"/>
                <w:szCs w:val="15"/>
                <w:color w:val="auto"/>
              </w:rPr>
              <w:t>Time deposits</w:t>
            </w:r>
          </w:p>
        </w:tc>
        <w:tc>
          <w:tcPr>
            <w:tcW w:w="80" w:type="dxa"/>
            <w:vAlign w:val="bottom"/>
          </w:tcPr>
          <w:p>
            <w:pPr>
              <w:spacing w:after="0"/>
              <w:rPr>
                <w:sz w:val="14"/>
                <w:szCs w:val="14"/>
                <w:color w:val="auto"/>
              </w:rPr>
            </w:pPr>
          </w:p>
        </w:tc>
        <w:tc>
          <w:tcPr>
            <w:tcW w:w="12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280" w:type="dxa"/>
            <w:vAlign w:val="bottom"/>
            <w:gridSpan w:val="2"/>
            <w:shd w:val="clear" w:color="auto" w:fill="CFF0FC"/>
          </w:tcPr>
          <w:p>
            <w:pPr>
              <w:ind w:left="80"/>
              <w:spacing w:after="0" w:line="162" w:lineRule="exact"/>
              <w:rPr>
                <w:sz w:val="20"/>
                <w:szCs w:val="20"/>
                <w:color w:val="auto"/>
              </w:rPr>
            </w:pPr>
            <w:r>
              <w:rPr>
                <w:rFonts w:ascii="Times New Roman" w:cs="Times New Roman" w:eastAsia="Times New Roman" w:hAnsi="Times New Roman"/>
                <w:sz w:val="15"/>
                <w:szCs w:val="15"/>
                <w:color w:val="auto"/>
              </w:rPr>
              <w:t>Equity securities</w:t>
            </w: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280" w:type="dxa"/>
            <w:vAlign w:val="bottom"/>
            <w:gridSpan w:val="2"/>
          </w:tcPr>
          <w:p>
            <w:pPr>
              <w:ind w:left="80"/>
              <w:spacing w:after="0" w:line="162" w:lineRule="exact"/>
              <w:rPr>
                <w:sz w:val="20"/>
                <w:szCs w:val="20"/>
                <w:color w:val="auto"/>
              </w:rPr>
            </w:pPr>
            <w:r>
              <w:rPr>
                <w:rFonts w:ascii="Times New Roman" w:cs="Times New Roman" w:eastAsia="Times New Roman" w:hAnsi="Times New Roman"/>
                <w:sz w:val="15"/>
                <w:szCs w:val="15"/>
                <w:color w:val="auto"/>
              </w:rPr>
              <w:t>Available-for-sale securities:</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280" w:type="dxa"/>
            <w:vAlign w:val="bottom"/>
            <w:gridSpan w:val="2"/>
            <w:shd w:val="clear" w:color="auto" w:fill="CFF0FC"/>
          </w:tcPr>
          <w:p>
            <w:pPr>
              <w:ind w:left="160"/>
              <w:spacing w:after="0" w:line="162" w:lineRule="exact"/>
              <w:rPr>
                <w:sz w:val="20"/>
                <w:szCs w:val="20"/>
                <w:color w:val="auto"/>
              </w:rPr>
            </w:pPr>
            <w:r>
              <w:rPr>
                <w:rFonts w:ascii="Times New Roman" w:cs="Times New Roman" w:eastAsia="Times New Roman" w:hAnsi="Times New Roman"/>
                <w:sz w:val="15"/>
                <w:szCs w:val="15"/>
                <w:color w:val="auto"/>
              </w:rPr>
              <w:t>Group insurance contracts</w:t>
            </w: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280" w:type="dxa"/>
            <w:vAlign w:val="bottom"/>
            <w:gridSpan w:val="2"/>
          </w:tcPr>
          <w:p>
            <w:pPr>
              <w:ind w:left="80"/>
              <w:spacing w:after="0" w:line="162" w:lineRule="exact"/>
              <w:rPr>
                <w:sz w:val="20"/>
                <w:szCs w:val="20"/>
                <w:color w:val="auto"/>
              </w:rPr>
            </w:pPr>
            <w:r>
              <w:rPr>
                <w:rFonts w:ascii="Times New Roman" w:cs="Times New Roman" w:eastAsia="Times New Roman" w:hAnsi="Times New Roman"/>
                <w:sz w:val="15"/>
                <w:szCs w:val="15"/>
                <w:color w:val="auto"/>
              </w:rPr>
              <w:t>Derivatives</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280" w:type="dxa"/>
            <w:vAlign w:val="bottom"/>
            <w:gridSpan w:val="2"/>
            <w:shd w:val="clear" w:color="auto" w:fill="CFF0FC"/>
          </w:tcPr>
          <w:p>
            <w:pPr>
              <w:ind w:left="160"/>
              <w:spacing w:after="0" w:line="162" w:lineRule="exact"/>
              <w:rPr>
                <w:sz w:val="20"/>
                <w:szCs w:val="20"/>
                <w:color w:val="auto"/>
              </w:rPr>
            </w:pPr>
            <w:r>
              <w:rPr>
                <w:rFonts w:ascii="Times New Roman" w:cs="Times New Roman" w:eastAsia="Times New Roman" w:hAnsi="Times New Roman"/>
                <w:sz w:val="15"/>
                <w:szCs w:val="15"/>
                <w:color w:val="auto"/>
              </w:rPr>
              <w:t>Foreign exchange forward contracts</w:t>
            </w: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280" w:type="dxa"/>
            <w:vAlign w:val="bottom"/>
            <w:gridSpan w:val="2"/>
          </w:tcPr>
          <w:p>
            <w:pPr>
              <w:ind w:left="160"/>
              <w:spacing w:after="0" w:line="162" w:lineRule="exact"/>
              <w:rPr>
                <w:sz w:val="20"/>
                <w:szCs w:val="20"/>
                <w:color w:val="auto"/>
              </w:rPr>
            </w:pPr>
            <w:r>
              <w:rPr>
                <w:rFonts w:ascii="Times New Roman" w:cs="Times New Roman" w:eastAsia="Times New Roman" w:hAnsi="Times New Roman"/>
                <w:sz w:val="15"/>
                <w:szCs w:val="15"/>
                <w:color w:val="auto"/>
              </w:rPr>
              <w:t>Interest rate swaps - current</w:t>
            </w:r>
          </w:p>
        </w:tc>
        <w:tc>
          <w:tcPr>
            <w:tcW w:w="80" w:type="dxa"/>
            <w:vAlign w:val="bottom"/>
          </w:tcPr>
          <w:p>
            <w:pPr>
              <w:spacing w:after="0"/>
              <w:rPr>
                <w:sz w:val="14"/>
                <w:szCs w:val="14"/>
                <w:color w:val="auto"/>
              </w:rPr>
            </w:pPr>
          </w:p>
        </w:tc>
        <w:tc>
          <w:tcPr>
            <w:tcW w:w="12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280" w:type="dxa"/>
            <w:vAlign w:val="bottom"/>
            <w:gridSpan w:val="2"/>
            <w:shd w:val="clear" w:color="auto" w:fill="CFF0FC"/>
          </w:tcPr>
          <w:p>
            <w:pPr>
              <w:ind w:left="160"/>
              <w:spacing w:after="0" w:line="162" w:lineRule="exact"/>
              <w:rPr>
                <w:sz w:val="20"/>
                <w:szCs w:val="20"/>
                <w:color w:val="auto"/>
              </w:rPr>
            </w:pPr>
            <w:r>
              <w:rPr>
                <w:rFonts w:ascii="Times New Roman" w:cs="Times New Roman" w:eastAsia="Times New Roman" w:hAnsi="Times New Roman"/>
                <w:sz w:val="15"/>
                <w:szCs w:val="15"/>
                <w:color w:val="auto"/>
              </w:rPr>
              <w:t>Interest rate swaps - non-current</w:t>
            </w: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280" w:type="dxa"/>
            <w:vAlign w:val="bottom"/>
            <w:gridSpan w:val="2"/>
          </w:tcPr>
          <w:p>
            <w:pPr>
              <w:ind w:left="80"/>
              <w:spacing w:after="0" w:line="162" w:lineRule="exact"/>
              <w:rPr>
                <w:sz w:val="20"/>
                <w:szCs w:val="20"/>
                <w:color w:val="auto"/>
              </w:rPr>
            </w:pPr>
            <w:r>
              <w:rPr>
                <w:rFonts w:ascii="Times New Roman" w:cs="Times New Roman" w:eastAsia="Times New Roman" w:hAnsi="Times New Roman"/>
                <w:sz w:val="15"/>
                <w:szCs w:val="15"/>
                <w:color w:val="auto"/>
              </w:rPr>
              <w:t>Pension and deferred compensation plan assets</w:t>
            </w: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27</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7"/>
                <w:szCs w:val="17"/>
                <w:color w:val="auto"/>
              </w:rPr>
            </w:pPr>
          </w:p>
        </w:tc>
        <w:tc>
          <w:tcPr>
            <w:tcW w:w="4280" w:type="dxa"/>
            <w:vAlign w:val="bottom"/>
            <w:gridSpan w:val="2"/>
            <w:shd w:val="clear" w:color="auto" w:fill="CFF0FC"/>
          </w:tcPr>
          <w:p>
            <w:pPr>
              <w:ind w:left="240"/>
              <w:spacing w:after="0" w:line="156" w:lineRule="exact"/>
              <w:rPr>
                <w:sz w:val="20"/>
                <w:szCs w:val="20"/>
                <w:color w:val="auto"/>
              </w:rPr>
            </w:pPr>
            <w:r>
              <w:rPr>
                <w:rFonts w:ascii="Times New Roman" w:cs="Times New Roman" w:eastAsia="Times New Roman" w:hAnsi="Times New Roman"/>
                <w:sz w:val="15"/>
                <w:szCs w:val="15"/>
                <w:color w:val="auto"/>
              </w:rPr>
              <w:t>Total assets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299</w:t>
            </w:r>
          </w:p>
        </w:tc>
        <w:tc>
          <w:tcPr>
            <w:tcW w:w="340" w:type="dxa"/>
            <w:vAlign w:val="bottom"/>
            <w:gridSpan w:val="3"/>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4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248</w:t>
            </w:r>
          </w:p>
        </w:tc>
        <w:tc>
          <w:tcPr>
            <w:tcW w:w="380" w:type="dxa"/>
            <w:vAlign w:val="bottom"/>
            <w:gridSpan w:val="3"/>
            <w:shd w:val="clear" w:color="auto" w:fill="CFF0FC"/>
          </w:tcPr>
          <w:p>
            <w:pPr>
              <w:jc w:val="right"/>
              <w:ind w:right="10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51</w:t>
            </w:r>
          </w:p>
        </w:tc>
        <w:tc>
          <w:tcPr>
            <w:tcW w:w="340" w:type="dxa"/>
            <w:vAlign w:val="bottom"/>
            <w:gridSpan w:val="2"/>
            <w:shd w:val="clear" w:color="auto" w:fill="CFF0FC"/>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shd w:val="clear" w:color="auto" w:fill="CFF0FC"/>
          </w:tcPr>
          <w:p>
            <w:pPr>
              <w:jc w:val="right"/>
              <w:ind w:right="100"/>
              <w:spacing w:after="0" w:line="156"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4280" w:type="dxa"/>
            <w:vAlign w:val="bottom"/>
            <w:tcBorders>
              <w:top w:val="single" w:sz="8" w:color="CFF0FC"/>
            </w:tcBorders>
            <w:gridSpan w:val="2"/>
          </w:tcPr>
          <w:p>
            <w:pPr>
              <w:spacing w:after="0" w:line="143" w:lineRule="exact"/>
              <w:rPr>
                <w:sz w:val="20"/>
                <w:szCs w:val="20"/>
                <w:color w:val="auto"/>
              </w:rPr>
            </w:pPr>
            <w:r>
              <w:rPr>
                <w:rFonts w:ascii="Times New Roman" w:cs="Times New Roman" w:eastAsia="Times New Roman" w:hAnsi="Times New Roman"/>
                <w:sz w:val="15"/>
                <w:szCs w:val="15"/>
                <w:color w:val="auto"/>
              </w:rPr>
              <w:t>Liabilities:</w:t>
            </w:r>
          </w:p>
        </w:tc>
        <w:tc>
          <w:tcPr>
            <w:tcW w:w="8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280" w:type="dxa"/>
            <w:vAlign w:val="bottom"/>
            <w:gridSpan w:val="2"/>
            <w:shd w:val="clear" w:color="auto" w:fill="CFF0FC"/>
          </w:tcPr>
          <w:p>
            <w:pPr>
              <w:ind w:left="80"/>
              <w:spacing w:after="0" w:line="162" w:lineRule="exact"/>
              <w:rPr>
                <w:sz w:val="20"/>
                <w:szCs w:val="20"/>
                <w:color w:val="auto"/>
              </w:rPr>
            </w:pPr>
            <w:r>
              <w:rPr>
                <w:rFonts w:ascii="Times New Roman" w:cs="Times New Roman" w:eastAsia="Times New Roman" w:hAnsi="Times New Roman"/>
                <w:sz w:val="15"/>
                <w:szCs w:val="15"/>
                <w:color w:val="auto"/>
              </w:rPr>
              <w:t>Derivatives</w:t>
            </w: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280" w:type="dxa"/>
            <w:vAlign w:val="bottom"/>
            <w:gridSpan w:val="2"/>
          </w:tcPr>
          <w:p>
            <w:pPr>
              <w:ind w:left="160"/>
              <w:spacing w:after="0" w:line="162" w:lineRule="exact"/>
              <w:rPr>
                <w:sz w:val="20"/>
                <w:szCs w:val="20"/>
                <w:color w:val="auto"/>
              </w:rPr>
            </w:pPr>
            <w:r>
              <w:rPr>
                <w:rFonts w:ascii="Times New Roman" w:cs="Times New Roman" w:eastAsia="Times New Roman" w:hAnsi="Times New Roman"/>
                <w:sz w:val="15"/>
                <w:szCs w:val="15"/>
                <w:color w:val="auto"/>
              </w:rPr>
              <w:t>Foreign exchange forward contracts - current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w:t>
            </w:r>
          </w:p>
        </w:tc>
        <w:tc>
          <w:tcPr>
            <w:tcW w:w="340" w:type="dxa"/>
            <w:vAlign w:val="bottom"/>
            <w:gridSpan w:val="3"/>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380" w:type="dxa"/>
            <w:vAlign w:val="bottom"/>
            <w:gridSpan w:val="3"/>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w:t>
            </w:r>
          </w:p>
        </w:tc>
        <w:tc>
          <w:tcPr>
            <w:tcW w:w="34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280" w:type="dxa"/>
            <w:vAlign w:val="bottom"/>
            <w:tcBorders>
              <w:bottom w:val="single" w:sz="8" w:color="CFF0FC"/>
            </w:tcBorders>
            <w:gridSpan w:val="2"/>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Interest rate swaps - current</w:t>
            </w:r>
          </w:p>
        </w:tc>
        <w:tc>
          <w:tcPr>
            <w:tcW w:w="8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4280" w:type="dxa"/>
            <w:vAlign w:val="bottom"/>
            <w:gridSpan w:val="2"/>
          </w:tcPr>
          <w:p>
            <w:pPr>
              <w:ind w:left="240"/>
              <w:spacing w:after="0" w:line="156" w:lineRule="exact"/>
              <w:rPr>
                <w:sz w:val="20"/>
                <w:szCs w:val="20"/>
                <w:color w:val="auto"/>
              </w:rPr>
            </w:pPr>
            <w:r>
              <w:rPr>
                <w:rFonts w:ascii="Times New Roman" w:cs="Times New Roman" w:eastAsia="Times New Roman" w:hAnsi="Times New Roman"/>
                <w:sz w:val="15"/>
                <w:szCs w:val="15"/>
                <w:color w:val="auto"/>
              </w:rPr>
              <w:t>Total liabilities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7</w:t>
            </w:r>
          </w:p>
        </w:tc>
        <w:tc>
          <w:tcPr>
            <w:tcW w:w="340" w:type="dxa"/>
            <w:vAlign w:val="bottom"/>
            <w:gridSpan w:val="3"/>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4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380" w:type="dxa"/>
            <w:vAlign w:val="bottom"/>
            <w:gridSpan w:val="3"/>
          </w:tcPr>
          <w:p>
            <w:pPr>
              <w:jc w:val="right"/>
              <w:ind w:right="10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7</w:t>
            </w:r>
          </w:p>
        </w:tc>
        <w:tc>
          <w:tcPr>
            <w:tcW w:w="340" w:type="dxa"/>
            <w:vAlign w:val="bottom"/>
            <w:gridSpan w:val="2"/>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tcPr>
          <w:p>
            <w:pPr>
              <w:jc w:val="right"/>
              <w:ind w:right="100"/>
              <w:spacing w:after="0" w:line="156"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 w:type="dxa"/>
            <w:vAlign w:val="bottom"/>
          </w:tcPr>
          <w:p>
            <w:pPr>
              <w:spacing w:after="0"/>
              <w:rPr>
                <w:sz w:val="12"/>
                <w:szCs w:val="12"/>
                <w:color w:val="auto"/>
              </w:rPr>
            </w:pPr>
          </w:p>
        </w:tc>
        <w:tc>
          <w:tcPr>
            <w:tcW w:w="4280" w:type="dxa"/>
            <w:vAlign w:val="bottom"/>
            <w:gridSpan w:val="2"/>
            <w:shd w:val="clear" w:color="auto" w:fill="CFF0FC"/>
          </w:tcPr>
          <w:p>
            <w:pPr>
              <w:spacing w:after="0" w:line="143" w:lineRule="exact"/>
              <w:rPr>
                <w:sz w:val="20"/>
                <w:szCs w:val="20"/>
                <w:color w:val="auto"/>
              </w:rPr>
            </w:pPr>
            <w:r>
              <w:rPr>
                <w:rFonts w:ascii="Times New Roman" w:cs="Times New Roman" w:eastAsia="Times New Roman" w:hAnsi="Times New Roman"/>
                <w:sz w:val="15"/>
                <w:szCs w:val="15"/>
                <w:color w:val="auto"/>
              </w:rPr>
              <w:t>Reported as follows:</w:t>
            </w:r>
          </w:p>
        </w:tc>
        <w:tc>
          <w:tcPr>
            <w:tcW w:w="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28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Assets:</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280" w:type="dxa"/>
            <w:vAlign w:val="bottom"/>
            <w:gridSpan w:val="2"/>
            <w:shd w:val="clear" w:color="auto" w:fill="CFF0FC"/>
          </w:tcPr>
          <w:p>
            <w:pPr>
              <w:ind w:left="80"/>
              <w:spacing w:after="0" w:line="176" w:lineRule="exact"/>
              <w:rPr>
                <w:sz w:val="20"/>
                <w:szCs w:val="20"/>
                <w:color w:val="auto"/>
              </w:rPr>
            </w:pPr>
            <w:r>
              <w:rPr>
                <w:rFonts w:ascii="Times New Roman" w:cs="Times New Roman" w:eastAsia="Times New Roman" w:hAnsi="Times New Roman"/>
                <w:sz w:val="15"/>
                <w:szCs w:val="15"/>
                <w:color w:val="auto"/>
              </w:rPr>
              <w:t xml:space="preserve">Cash and cash equivalents </w:t>
            </w:r>
            <w:r>
              <w:rPr>
                <w:rFonts w:ascii="Times New Roman" w:cs="Times New Roman" w:eastAsia="Times New Roman" w:hAnsi="Times New Roman"/>
                <w:sz w:val="20"/>
                <w:szCs w:val="20"/>
                <w:color w:val="auto"/>
                <w:vertAlign w:val="superscript"/>
              </w:rPr>
              <w:t>(1)</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257</w:t>
            </w:r>
          </w:p>
        </w:tc>
        <w:tc>
          <w:tcPr>
            <w:tcW w:w="3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246</w:t>
            </w:r>
          </w:p>
        </w:tc>
        <w:tc>
          <w:tcPr>
            <w:tcW w:w="3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280" w:type="dxa"/>
            <w:vAlign w:val="bottom"/>
            <w:gridSpan w:val="2"/>
          </w:tcPr>
          <w:p>
            <w:pPr>
              <w:ind w:left="80"/>
              <w:spacing w:after="0" w:line="162" w:lineRule="exact"/>
              <w:rPr>
                <w:sz w:val="20"/>
                <w:szCs w:val="20"/>
                <w:color w:val="auto"/>
              </w:rPr>
            </w:pPr>
            <w:r>
              <w:rPr>
                <w:rFonts w:ascii="Times New Roman" w:cs="Times New Roman" w:eastAsia="Times New Roman" w:hAnsi="Times New Roman"/>
                <w:sz w:val="15"/>
                <w:szCs w:val="15"/>
                <w:color w:val="auto"/>
              </w:rPr>
              <w:t>Other current assets</w:t>
            </w: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280" w:type="dxa"/>
            <w:vAlign w:val="bottom"/>
            <w:gridSpan w:val="2"/>
            <w:shd w:val="clear" w:color="auto" w:fill="CFF0FC"/>
          </w:tcPr>
          <w:p>
            <w:pPr>
              <w:ind w:left="240"/>
              <w:spacing w:after="0" w:line="156" w:lineRule="exact"/>
              <w:rPr>
                <w:sz w:val="20"/>
                <w:szCs w:val="20"/>
                <w:color w:val="auto"/>
              </w:rPr>
            </w:pPr>
            <w:r>
              <w:rPr>
                <w:rFonts w:ascii="Times New Roman" w:cs="Times New Roman" w:eastAsia="Times New Roman" w:hAnsi="Times New Roman"/>
                <w:sz w:val="15"/>
                <w:szCs w:val="15"/>
                <w:color w:val="auto"/>
              </w:rPr>
              <w:t>Total current assets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259</w:t>
            </w:r>
          </w:p>
        </w:tc>
        <w:tc>
          <w:tcPr>
            <w:tcW w:w="340" w:type="dxa"/>
            <w:vAlign w:val="bottom"/>
            <w:gridSpan w:val="3"/>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4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246</w:t>
            </w:r>
          </w:p>
        </w:tc>
        <w:tc>
          <w:tcPr>
            <w:tcW w:w="380" w:type="dxa"/>
            <w:vAlign w:val="bottom"/>
            <w:gridSpan w:val="3"/>
            <w:shd w:val="clear" w:color="auto" w:fill="CFF0FC"/>
          </w:tcPr>
          <w:p>
            <w:pPr>
              <w:jc w:val="right"/>
              <w:ind w:right="10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13</w:t>
            </w:r>
          </w:p>
        </w:tc>
        <w:tc>
          <w:tcPr>
            <w:tcW w:w="340" w:type="dxa"/>
            <w:vAlign w:val="bottom"/>
            <w:gridSpan w:val="2"/>
            <w:shd w:val="clear" w:color="auto" w:fill="CFF0FC"/>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shd w:val="clear" w:color="auto" w:fill="CFF0FC"/>
          </w:tcPr>
          <w:p>
            <w:pPr>
              <w:jc w:val="right"/>
              <w:ind w:right="100"/>
              <w:spacing w:after="0" w:line="156"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40" w:type="dxa"/>
            <w:vAlign w:val="bottom"/>
            <w:tcBorders>
              <w:top w:val="single" w:sz="8" w:color="CFF0FC"/>
            </w:tcBorders>
            <w:shd w:val="clear" w:color="auto" w:fill="CFF0FC"/>
          </w:tcPr>
          <w:p>
            <w:pPr>
              <w:spacing w:after="0" w:line="20" w:lineRule="exact"/>
              <w:rPr>
                <w:sz w:val="1"/>
                <w:szCs w:val="1"/>
                <w:color w:val="auto"/>
              </w:rPr>
            </w:pPr>
          </w:p>
        </w:tc>
        <w:tc>
          <w:tcPr>
            <w:tcW w:w="28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 w:type="dxa"/>
            <w:vAlign w:val="bottom"/>
          </w:tcPr>
          <w:p>
            <w:pPr>
              <w:spacing w:after="0"/>
              <w:rPr>
                <w:sz w:val="12"/>
                <w:szCs w:val="12"/>
                <w:color w:val="auto"/>
              </w:rPr>
            </w:pPr>
          </w:p>
        </w:tc>
        <w:tc>
          <w:tcPr>
            <w:tcW w:w="4280" w:type="dxa"/>
            <w:vAlign w:val="bottom"/>
            <w:gridSpan w:val="2"/>
          </w:tcPr>
          <w:p>
            <w:pPr>
              <w:ind w:left="80"/>
              <w:spacing w:after="0" w:line="143" w:lineRule="exact"/>
              <w:rPr>
                <w:sz w:val="20"/>
                <w:szCs w:val="20"/>
                <w:color w:val="auto"/>
              </w:rPr>
            </w:pPr>
            <w:r>
              <w:rPr>
                <w:rFonts w:ascii="Times New Roman" w:cs="Times New Roman" w:eastAsia="Times New Roman" w:hAnsi="Times New Roman"/>
                <w:sz w:val="15"/>
                <w:szCs w:val="15"/>
                <w:color w:val="auto"/>
              </w:rPr>
              <w:t>Other assets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line="143" w:lineRule="exact"/>
              <w:rPr>
                <w:sz w:val="20"/>
                <w:szCs w:val="20"/>
                <w:color w:val="auto"/>
              </w:rPr>
            </w:pPr>
            <w:r>
              <w:rPr>
                <w:rFonts w:ascii="Times New Roman" w:cs="Times New Roman" w:eastAsia="Times New Roman" w:hAnsi="Times New Roman"/>
                <w:sz w:val="15"/>
                <w:szCs w:val="15"/>
                <w:color w:val="auto"/>
              </w:rPr>
              <w:t>40</w:t>
            </w:r>
          </w:p>
        </w:tc>
        <w:tc>
          <w:tcPr>
            <w:tcW w:w="340" w:type="dxa"/>
            <w:vAlign w:val="bottom"/>
            <w:gridSpan w:val="3"/>
          </w:tcPr>
          <w:p>
            <w:pPr>
              <w:jc w:val="right"/>
              <w:ind w:right="60"/>
              <w:spacing w:after="0" w:line="143" w:lineRule="exact"/>
              <w:rPr>
                <w:sz w:val="20"/>
                <w:szCs w:val="20"/>
                <w:color w:val="auto"/>
              </w:rPr>
            </w:pPr>
            <w:r>
              <w:rPr>
                <w:rFonts w:ascii="Times New Roman" w:cs="Times New Roman" w:eastAsia="Times New Roman" w:hAnsi="Times New Roman"/>
                <w:sz w:val="15"/>
                <w:szCs w:val="15"/>
                <w:color w:val="auto"/>
              </w:rPr>
              <w:t>$</w:t>
            </w:r>
          </w:p>
        </w:tc>
        <w:tc>
          <w:tcPr>
            <w:tcW w:w="1400" w:type="dxa"/>
            <w:vAlign w:val="bottom"/>
          </w:tcPr>
          <w:p>
            <w:pPr>
              <w:jc w:val="right"/>
              <w:spacing w:after="0" w:line="143" w:lineRule="exact"/>
              <w:rPr>
                <w:sz w:val="20"/>
                <w:szCs w:val="20"/>
                <w:color w:val="auto"/>
              </w:rPr>
            </w:pPr>
            <w:r>
              <w:rPr>
                <w:rFonts w:ascii="Times New Roman" w:cs="Times New Roman" w:eastAsia="Times New Roman" w:hAnsi="Times New Roman"/>
                <w:sz w:val="15"/>
                <w:szCs w:val="15"/>
                <w:color w:val="auto"/>
              </w:rPr>
              <w:t>2</w:t>
            </w:r>
          </w:p>
        </w:tc>
        <w:tc>
          <w:tcPr>
            <w:tcW w:w="380" w:type="dxa"/>
            <w:vAlign w:val="bottom"/>
            <w:gridSpan w:val="3"/>
          </w:tcPr>
          <w:p>
            <w:pPr>
              <w:jc w:val="right"/>
              <w:ind w:right="100"/>
              <w:spacing w:after="0" w:line="143"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line="143" w:lineRule="exact"/>
              <w:rPr>
                <w:sz w:val="20"/>
                <w:szCs w:val="20"/>
                <w:color w:val="auto"/>
              </w:rPr>
            </w:pPr>
            <w:r>
              <w:rPr>
                <w:rFonts w:ascii="Times New Roman" w:cs="Times New Roman" w:eastAsia="Times New Roman" w:hAnsi="Times New Roman"/>
                <w:sz w:val="15"/>
                <w:szCs w:val="15"/>
                <w:color w:val="auto"/>
              </w:rPr>
              <w:t>38</w:t>
            </w:r>
          </w:p>
        </w:tc>
        <w:tc>
          <w:tcPr>
            <w:tcW w:w="340" w:type="dxa"/>
            <w:vAlign w:val="bottom"/>
            <w:gridSpan w:val="2"/>
          </w:tcPr>
          <w:p>
            <w:pPr>
              <w:jc w:val="right"/>
              <w:ind w:right="80"/>
              <w:spacing w:after="0" w:line="143" w:lineRule="exact"/>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tcPr>
          <w:p>
            <w:pPr>
              <w:jc w:val="right"/>
              <w:ind w:right="100"/>
              <w:spacing w:after="0" w:line="143"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 w:type="dxa"/>
            <w:vAlign w:val="bottom"/>
          </w:tcPr>
          <w:p>
            <w:pPr>
              <w:spacing w:after="0"/>
              <w:rPr>
                <w:sz w:val="12"/>
                <w:szCs w:val="12"/>
                <w:color w:val="auto"/>
              </w:rPr>
            </w:pPr>
          </w:p>
        </w:tc>
        <w:tc>
          <w:tcPr>
            <w:tcW w:w="4280" w:type="dxa"/>
            <w:vAlign w:val="bottom"/>
            <w:gridSpan w:val="2"/>
            <w:shd w:val="clear" w:color="auto" w:fill="CFF0FC"/>
          </w:tcPr>
          <w:p>
            <w:pPr>
              <w:spacing w:after="0" w:line="143" w:lineRule="exact"/>
              <w:rPr>
                <w:sz w:val="20"/>
                <w:szCs w:val="20"/>
                <w:color w:val="auto"/>
              </w:rPr>
            </w:pPr>
            <w:r>
              <w:rPr>
                <w:rFonts w:ascii="Times New Roman" w:cs="Times New Roman" w:eastAsia="Times New Roman" w:hAnsi="Times New Roman"/>
                <w:sz w:val="15"/>
                <w:szCs w:val="15"/>
                <w:color w:val="auto"/>
              </w:rPr>
              <w:t>Liabilities:</w:t>
            </w:r>
          </w:p>
        </w:tc>
        <w:tc>
          <w:tcPr>
            <w:tcW w:w="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280" w:type="dxa"/>
            <w:vAlign w:val="bottom"/>
            <w:gridSpan w:val="2"/>
          </w:tcPr>
          <w:p>
            <w:pPr>
              <w:ind w:left="80"/>
              <w:spacing w:after="0" w:line="162" w:lineRule="exact"/>
              <w:rPr>
                <w:sz w:val="20"/>
                <w:szCs w:val="20"/>
                <w:color w:val="auto"/>
              </w:rPr>
            </w:pPr>
            <w:r>
              <w:rPr>
                <w:rFonts w:ascii="Times New Roman" w:cs="Times New Roman" w:eastAsia="Times New Roman" w:hAnsi="Times New Roman"/>
                <w:sz w:val="15"/>
                <w:szCs w:val="15"/>
                <w:color w:val="auto"/>
              </w:rPr>
              <w:t>Other current liabilities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w:t>
            </w:r>
          </w:p>
        </w:tc>
        <w:tc>
          <w:tcPr>
            <w:tcW w:w="340" w:type="dxa"/>
            <w:vAlign w:val="bottom"/>
            <w:gridSpan w:val="3"/>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380" w:type="dxa"/>
            <w:vAlign w:val="bottom"/>
            <w:gridSpan w:val="3"/>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w:t>
            </w:r>
          </w:p>
        </w:tc>
        <w:tc>
          <w:tcPr>
            <w:tcW w:w="34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2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3617595</wp:posOffset>
            </wp:positionH>
            <wp:positionV relativeFrom="paragraph">
              <wp:posOffset>-1610995</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3617595</wp:posOffset>
            </wp:positionH>
            <wp:positionV relativeFrom="paragraph">
              <wp:posOffset>-1593850</wp:posOffset>
            </wp:positionV>
            <wp:extent cx="603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4723765</wp:posOffset>
            </wp:positionH>
            <wp:positionV relativeFrom="paragraph">
              <wp:posOffset>-1610995</wp:posOffset>
            </wp:positionV>
            <wp:extent cx="603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4723765</wp:posOffset>
            </wp:positionH>
            <wp:positionV relativeFrom="paragraph">
              <wp:posOffset>-1593850</wp:posOffset>
            </wp:positionV>
            <wp:extent cx="603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-1610995</wp:posOffset>
            </wp:positionV>
            <wp:extent cx="596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-1593850</wp:posOffset>
            </wp:positionV>
            <wp:extent cx="596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6600825</wp:posOffset>
            </wp:positionH>
            <wp:positionV relativeFrom="paragraph">
              <wp:posOffset>-1610995</wp:posOffset>
            </wp:positionV>
            <wp:extent cx="596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6600825</wp:posOffset>
            </wp:positionH>
            <wp:positionV relativeFrom="paragraph">
              <wp:posOffset>-1593850</wp:posOffset>
            </wp:positionV>
            <wp:extent cx="596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3617595</wp:posOffset>
            </wp:positionH>
            <wp:positionV relativeFrom="paragraph">
              <wp:posOffset>-1148080</wp:posOffset>
            </wp:positionV>
            <wp:extent cx="60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4723765</wp:posOffset>
            </wp:positionH>
            <wp:positionV relativeFrom="paragraph">
              <wp:posOffset>-1148080</wp:posOffset>
            </wp:positionV>
            <wp:extent cx="603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-1148080</wp:posOffset>
            </wp:positionV>
            <wp:extent cx="596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6600825</wp:posOffset>
            </wp:positionH>
            <wp:positionV relativeFrom="paragraph">
              <wp:posOffset>-1148080</wp:posOffset>
            </wp:positionV>
            <wp:extent cx="596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3617595</wp:posOffset>
            </wp:positionH>
            <wp:positionV relativeFrom="paragraph">
              <wp:posOffset>-479425</wp:posOffset>
            </wp:positionV>
            <wp:extent cx="603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3617595</wp:posOffset>
            </wp:positionH>
            <wp:positionV relativeFrom="paragraph">
              <wp:posOffset>-462280</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4723765</wp:posOffset>
            </wp:positionH>
            <wp:positionV relativeFrom="paragraph">
              <wp:posOffset>-479425</wp:posOffset>
            </wp:positionV>
            <wp:extent cx="60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4723765</wp:posOffset>
            </wp:positionH>
            <wp:positionV relativeFrom="paragraph">
              <wp:posOffset>-462280</wp:posOffset>
            </wp:positionV>
            <wp:extent cx="60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-479425</wp:posOffset>
            </wp:positionV>
            <wp:extent cx="596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-462280</wp:posOffset>
            </wp:positionV>
            <wp:extent cx="596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6600825</wp:posOffset>
            </wp:positionH>
            <wp:positionV relativeFrom="paragraph">
              <wp:posOffset>-479425</wp:posOffset>
            </wp:positionV>
            <wp:extent cx="596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6600825</wp:posOffset>
            </wp:positionH>
            <wp:positionV relativeFrom="paragraph">
              <wp:posOffset>-462280</wp:posOffset>
            </wp:positionV>
            <wp:extent cx="596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9" w:lineRule="exact"/>
        <w:rPr>
          <w:sz w:val="20"/>
          <w:szCs w:val="20"/>
          <w:color w:val="auto"/>
        </w:rPr>
      </w:pPr>
    </w:p>
    <w:p>
      <w:pPr>
        <w:ind w:left="10" w:right="1220" w:hanging="10"/>
        <w:spacing w:after="0" w:line="442" w:lineRule="auto"/>
        <w:tabs>
          <w:tab w:leader="none" w:pos="384" w:val="left"/>
        </w:tabs>
        <w:numPr>
          <w:ilvl w:val="0"/>
          <w:numId w:val="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 xml:space="preserve">The cash and cash equivalents amount presented in the table above does not include cash of $418 as of December 31, 2025. </w:t>
      </w:r>
      <w:r>
        <w:rPr>
          <w:rFonts w:ascii="Times New Roman" w:cs="Times New Roman" w:eastAsia="Times New Roman" w:hAnsi="Times New Roman"/>
          <w:sz w:val="18"/>
          <w:szCs w:val="18"/>
          <w:u w:val="single" w:color="auto"/>
          <w:color w:val="auto"/>
        </w:rPr>
        <w:t>Other Fair Value Disclosures</w:t>
      </w:r>
    </w:p>
    <w:p>
      <w:pPr>
        <w:spacing w:after="0" w:line="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The estimated carrying value and fair value of the Company’s debt were as follows:</w:t>
      </w:r>
    </w:p>
    <w:p>
      <w:pPr>
        <w:spacing w:after="0" w:line="113" w:lineRule="exact"/>
        <w:rPr>
          <w:sz w:val="20"/>
          <w:szCs w:val="20"/>
          <w:color w:val="auto"/>
        </w:rPr>
      </w:pPr>
    </w:p>
    <w:tbl>
      <w:tblPr>
        <w:tblLayout w:type="fixed"/>
        <w:tblInd w:w="5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00" w:type="dxa"/>
            <w:vAlign w:val="bottom"/>
            <w:gridSpan w:val="4"/>
          </w:tcPr>
          <w:p>
            <w:pPr>
              <w:jc w:val="right"/>
              <w:ind w:right="781"/>
              <w:spacing w:after="0"/>
              <w:rPr>
                <w:sz w:val="20"/>
                <w:szCs w:val="20"/>
                <w:color w:val="auto"/>
              </w:rPr>
            </w:pPr>
            <w:r>
              <w:rPr>
                <w:rFonts w:ascii="Times New Roman" w:cs="Times New Roman" w:eastAsia="Times New Roman" w:hAnsi="Times New Roman"/>
                <w:sz w:val="14"/>
                <w:szCs w:val="14"/>
                <w:color w:val="auto"/>
              </w:rPr>
              <w:t>September 30, 2026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80" w:type="dxa"/>
            <w:vAlign w:val="bottom"/>
            <w:gridSpan w:val="5"/>
          </w:tcPr>
          <w:p>
            <w:pPr>
              <w:ind w:left="740"/>
              <w:spacing w:after="0"/>
              <w:rPr>
                <w:sz w:val="20"/>
                <w:szCs w:val="20"/>
                <w:color w:val="auto"/>
              </w:rPr>
            </w:pPr>
            <w:r>
              <w:rPr>
                <w:rFonts w:ascii="Times New Roman" w:cs="Times New Roman" w:eastAsia="Times New Roman" w:hAnsi="Times New Roman"/>
                <w:sz w:val="14"/>
                <w:szCs w:val="14"/>
                <w:color w:val="auto"/>
              </w:rPr>
              <w:t>December 31, 2025</w:t>
            </w:r>
          </w:p>
        </w:tc>
      </w:tr>
      <w:tr>
        <w:trPr>
          <w:trHeight w:val="142"/>
        </w:trPr>
        <w:tc>
          <w:tcPr>
            <w:tcW w:w="43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Times New Roman" w:cs="Times New Roman" w:eastAsia="Times New Roman" w:hAnsi="Times New Roman"/>
                <w:sz w:val="14"/>
                <w:szCs w:val="14"/>
                <w:color w:val="auto"/>
              </w:rPr>
              <w:t>Carrying Value</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281"/>
              <w:spacing w:after="0" w:line="142" w:lineRule="exact"/>
              <w:rPr>
                <w:sz w:val="20"/>
                <w:szCs w:val="20"/>
                <w:color w:val="auto"/>
              </w:rPr>
            </w:pPr>
            <w:r>
              <w:rPr>
                <w:rFonts w:ascii="Times New Roman" w:cs="Times New Roman" w:eastAsia="Times New Roman" w:hAnsi="Times New Roman"/>
                <w:sz w:val="14"/>
                <w:szCs w:val="14"/>
                <w:color w:val="auto"/>
              </w:rPr>
              <w:t>Fair Value</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162"/>
              <w:spacing w:after="0" w:line="142" w:lineRule="exact"/>
              <w:rPr>
                <w:sz w:val="20"/>
                <w:szCs w:val="20"/>
                <w:color w:val="auto"/>
              </w:rPr>
            </w:pPr>
            <w:r>
              <w:rPr>
                <w:rFonts w:ascii="Times New Roman" w:cs="Times New Roman" w:eastAsia="Times New Roman" w:hAnsi="Times New Roman"/>
                <w:sz w:val="14"/>
                <w:szCs w:val="14"/>
                <w:color w:val="auto"/>
              </w:rPr>
              <w:t>Carrying Value</w:t>
            </w: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321"/>
              <w:spacing w:after="0" w:line="142" w:lineRule="exact"/>
              <w:rPr>
                <w:sz w:val="20"/>
                <w:szCs w:val="20"/>
                <w:color w:val="auto"/>
              </w:rPr>
            </w:pPr>
            <w:r>
              <w:rPr>
                <w:rFonts w:ascii="Times New Roman" w:cs="Times New Roman" w:eastAsia="Times New Roman" w:hAnsi="Times New Roman"/>
                <w:sz w:val="14"/>
                <w:szCs w:val="14"/>
                <w:color w:val="auto"/>
              </w:rPr>
              <w:t>Fair Value</w:t>
            </w:r>
          </w:p>
        </w:tc>
        <w:tc>
          <w:tcPr>
            <w:tcW w:w="100" w:type="dxa"/>
            <w:vAlign w:val="bottom"/>
          </w:tcPr>
          <w:p>
            <w:pPr>
              <w:spacing w:after="0"/>
              <w:rPr>
                <w:sz w:val="12"/>
                <w:szCs w:val="12"/>
                <w:color w:val="auto"/>
              </w:rPr>
            </w:pPr>
          </w:p>
        </w:tc>
      </w:tr>
      <w:tr>
        <w:trPr>
          <w:trHeight w:val="196"/>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Term Loan Facility</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1,315</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1,318</w:t>
            </w:r>
          </w:p>
        </w:tc>
        <w:tc>
          <w:tcPr>
            <w:tcW w:w="3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2,878</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2,900</w:t>
            </w:r>
          </w:p>
        </w:tc>
        <w:tc>
          <w:tcPr>
            <w:tcW w:w="100" w:type="dxa"/>
            <w:vAlign w:val="bottom"/>
            <w:shd w:val="clear" w:color="auto" w:fill="CFF0FC"/>
          </w:tcPr>
          <w:p>
            <w:pPr>
              <w:spacing w:after="0"/>
              <w:rPr>
                <w:sz w:val="17"/>
                <w:szCs w:val="17"/>
                <w:color w:val="auto"/>
              </w:rPr>
            </w:pPr>
          </w:p>
        </w:tc>
      </w:tr>
      <w:tr>
        <w:trPr>
          <w:trHeight w:val="203"/>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Convertible Notes</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1,792</w:t>
            </w:r>
          </w:p>
        </w:tc>
        <w:tc>
          <w:tcPr>
            <w:tcW w:w="100" w:type="dxa"/>
            <w:vAlign w:val="bottom"/>
          </w:tcPr>
          <w:p>
            <w:pPr>
              <w:spacing w:after="0"/>
              <w:rPr>
                <w:sz w:val="17"/>
                <w:szCs w:val="17"/>
                <w:color w:val="auto"/>
              </w:rPr>
            </w:pPr>
          </w:p>
        </w:tc>
      </w:tr>
      <w:tr>
        <w:trPr>
          <w:trHeight w:val="202"/>
        </w:trPr>
        <w:tc>
          <w:tcPr>
            <w:tcW w:w="4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2034 Notes</w:t>
            </w:r>
          </w:p>
        </w:tc>
        <w:tc>
          <w:tcPr>
            <w:tcW w:w="1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1,134</w:t>
            </w: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1,057</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3,849</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4,945</w:t>
            </w: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4,278</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4,692</w:t>
            </w:r>
          </w:p>
        </w:tc>
        <w:tc>
          <w:tcPr>
            <w:tcW w:w="100" w:type="dxa"/>
            <w:vAlign w:val="bottom"/>
          </w:tcPr>
          <w:p>
            <w:pPr>
              <w:spacing w:after="0"/>
              <w:rPr>
                <w:sz w:val="17"/>
                <w:szCs w:val="17"/>
                <w:color w:val="auto"/>
              </w:rPr>
            </w:pPr>
          </w:p>
        </w:tc>
      </w:tr>
      <w:tr>
        <w:trPr>
          <w:trHeight w:val="20"/>
        </w:trPr>
        <w:tc>
          <w:tcPr>
            <w:tcW w:w="4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-162560</wp:posOffset>
            </wp:positionV>
            <wp:extent cx="603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4620895</wp:posOffset>
            </wp:positionH>
            <wp:positionV relativeFrom="paragraph">
              <wp:posOffset>-162560</wp:posOffset>
            </wp:positionV>
            <wp:extent cx="603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5589270</wp:posOffset>
            </wp:positionH>
            <wp:positionV relativeFrom="paragraph">
              <wp:posOffset>-162560</wp:posOffset>
            </wp:positionV>
            <wp:extent cx="603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6592570</wp:posOffset>
            </wp:positionH>
            <wp:positionV relativeFrom="paragraph">
              <wp:posOffset>-162560</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left="10" w:right="20"/>
        <w:spacing w:after="0" w:line="258" w:lineRule="auto"/>
        <w:rPr>
          <w:sz w:val="20"/>
          <w:szCs w:val="20"/>
          <w:color w:val="auto"/>
        </w:rPr>
      </w:pPr>
      <w:r>
        <w:rPr>
          <w:rFonts w:ascii="Times New Roman" w:cs="Times New Roman" w:eastAsia="Times New Roman" w:hAnsi="Times New Roman"/>
          <w:sz w:val="18"/>
          <w:szCs w:val="18"/>
          <w:color w:val="auto"/>
        </w:rPr>
        <w:t>The estimated fair values of the Company’s Term Loan Facility and 2034 Notes, each as defined and further described in Note 8, were determined using available market information based on recent trades or activity of debt instruments with substantially similar risks, terms and maturities, and fall within Level 2 under the fair value hierarchy. The estimated fair value of the Company’s Convertible Notes, as defined and further described in Note 8, was determined based on the last traded price of the Convertible Notes for the period ended September 30, 2026, and falls under Level 2 of the fair value hierarchy.</w:t>
      </w:r>
    </w:p>
    <w:p>
      <w:pPr>
        <w:spacing w:after="0" w:line="143" w:lineRule="exact"/>
        <w:rPr>
          <w:sz w:val="20"/>
          <w:szCs w:val="20"/>
          <w:color w:val="auto"/>
        </w:rPr>
      </w:pPr>
    </w:p>
    <w:p>
      <w:pPr>
        <w:ind w:left="479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90"/>
          </w:cols>
          <w:pgMar w:left="1070" w:top="769"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color w:val="auto"/>
        </w:rPr>
        <w:t>MKS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200" w:lineRule="exact"/>
        <w:rPr>
          <w:sz w:val="20"/>
          <w:szCs w:val="20"/>
          <w:color w:val="auto"/>
        </w:rPr>
      </w:pPr>
    </w:p>
    <w:p>
      <w:pPr>
        <w:spacing w:after="0" w:line="2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Money Market Funds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Money market funds are cash and cash equivalents and are classified within Level 1 of the fair value hierarchy.</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Pension and Deferred Compensation Plan Assets</w:t>
      </w:r>
    </w:p>
    <w:p>
      <w:pPr>
        <w:spacing w:after="0" w:line="225" w:lineRule="exact"/>
        <w:rPr>
          <w:sz w:val="20"/>
          <w:szCs w:val="20"/>
          <w:color w:val="auto"/>
        </w:rPr>
      </w:pPr>
    </w:p>
    <w:p>
      <w:pPr>
        <w:ind w:left="760" w:right="320"/>
        <w:spacing w:after="0" w:line="282" w:lineRule="auto"/>
        <w:rPr>
          <w:sz w:val="20"/>
          <w:szCs w:val="20"/>
          <w:color w:val="auto"/>
        </w:rPr>
      </w:pPr>
      <w:r>
        <w:rPr>
          <w:rFonts w:ascii="Times New Roman" w:cs="Times New Roman" w:eastAsia="Times New Roman" w:hAnsi="Times New Roman"/>
          <w:sz w:val="18"/>
          <w:szCs w:val="18"/>
          <w:color w:val="auto"/>
        </w:rPr>
        <w:t>The pension and deferred compensation plan assets represent investments in mutual funds, exchange traded funds, government securities and other time deposits. These investments are set aside for retirement benefits for employees of certain of the Company’s subsidiaries.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Derivatives</w:t>
      </w:r>
    </w:p>
    <w:p>
      <w:pPr>
        <w:spacing w:after="0" w:line="225" w:lineRule="exact"/>
        <w:rPr>
          <w:sz w:val="20"/>
          <w:szCs w:val="20"/>
          <w:color w:val="auto"/>
        </w:rPr>
      </w:pPr>
    </w:p>
    <w:p>
      <w:pPr>
        <w:ind w:left="760" w:right="120"/>
        <w:spacing w:after="0" w:line="256" w:lineRule="auto"/>
        <w:rPr>
          <w:sz w:val="20"/>
          <w:szCs w:val="20"/>
          <w:color w:val="auto"/>
        </w:rPr>
      </w:pPr>
      <w:r>
        <w:rPr>
          <w:rFonts w:ascii="Times New Roman" w:cs="Times New Roman" w:eastAsia="Times New Roman" w:hAnsi="Times New Roman"/>
          <w:sz w:val="18"/>
          <w:szCs w:val="18"/>
          <w:color w:val="auto"/>
        </w:rPr>
        <w:t>As a result of the Company’s global operating activities and variable interest rate borrowings, the Company is exposed to market risks from changes in foreign currency exchange rates and interest rates, which may adversely affect its operating results and financial position. When appropriate, the Company uses derivative financial instruments to minimize its exposure to risks from foreign currency exchange rate and interest rate fluctuations. The principal market in which the Company executes its foreign currency and interest rate contracts is the institutional market in an over-the-counter environment with a relatively high level of price transparency. The market participants are typically large commercial banks. The contracts are valued using broker quotations or market transactions.</w:t>
      </w:r>
    </w:p>
    <w:p>
      <w:pPr>
        <w:spacing w:after="0" w:line="183" w:lineRule="exact"/>
        <w:rPr>
          <w:sz w:val="20"/>
          <w:szCs w:val="20"/>
          <w:color w:val="auto"/>
        </w:rPr>
      </w:pPr>
    </w:p>
    <w:p>
      <w:pPr>
        <w:ind w:left="760" w:right="7460" w:hanging="752"/>
        <w:spacing w:after="0" w:line="532" w:lineRule="auto"/>
        <w:tabs>
          <w:tab w:leader="none" w:pos="76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Derivatives and Net Investment Hedges </w:t>
      </w:r>
      <w:r>
        <w:rPr>
          <w:rFonts w:ascii="Times New Roman" w:cs="Times New Roman" w:eastAsia="Times New Roman" w:hAnsi="Times New Roman"/>
          <w:sz w:val="17"/>
          <w:szCs w:val="17"/>
          <w:u w:val="single" w:color="auto"/>
          <w:color w:val="auto"/>
        </w:rPr>
        <w:t>Foreign Exchange Forward Contracts</w:t>
      </w:r>
    </w:p>
    <w:p>
      <w:pPr>
        <w:spacing w:after="0" w:line="1" w:lineRule="exact"/>
        <w:rPr>
          <w:rFonts w:ascii="Times New Roman" w:cs="Times New Roman" w:eastAsia="Times New Roman" w:hAnsi="Times New Roman"/>
          <w:sz w:val="17"/>
          <w:szCs w:val="17"/>
          <w:b w:val="1"/>
          <w:bCs w:val="1"/>
          <w:color w:val="auto"/>
        </w:rPr>
      </w:pPr>
    </w:p>
    <w:p>
      <w:pPr>
        <w:ind w:left="760" w:right="100"/>
        <w:spacing w:after="0" w:line="27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hedges a portion of its forecasted foreign currency-denominated intercompany sales of inventory and certain of its foreign subsidiaries’ operating expenses, over a maximum period of twenty-four months, using foreign exchange forward contracts accounted for as cash-flow hedges. To the extent these derivatives are effective in offsetting the variability of the hedged cash flows, and otherwise meet the hedge accounting criteria, changes in the derivatives’ fair value are not included in current earnings but are included in other comprehensive income (“OCI”) in stockholders’ equity. These changes in fair value will subsequently be reclassified into earnings as applicable, when the forecasted transaction occurs. To the extent that a previously designated hedging transaction is no longer an effective hedge, any ineffectiveness measured in the hedging relationship is recorded in earnings in the period it occurs. The cash flows resulting from foreign exchange forward contracts are classified in the condensed consolidated statements of cash flows as part of cash flows from operating activities.</w:t>
      </w:r>
    </w:p>
    <w:p>
      <w:pPr>
        <w:spacing w:after="0" w:line="64" w:lineRule="exact"/>
        <w:rPr>
          <w:rFonts w:ascii="Times New Roman" w:cs="Times New Roman" w:eastAsia="Times New Roman" w:hAnsi="Times New Roman"/>
          <w:sz w:val="17"/>
          <w:szCs w:val="17"/>
          <w:b w:val="1"/>
          <w:bCs w:val="1"/>
          <w:color w:val="auto"/>
        </w:rPr>
      </w:pPr>
    </w:p>
    <w:p>
      <w:pPr>
        <w:ind w:left="760" w:right="2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Company also enters into foreign exchange forward contracts to hedge against certain monetary asset and liability accounts on the condensed consolidated balance sheet to mitigate the risk associated with certain foreign currency transactions in the ordinary course of business. These derivatives are not designated as cash flow hedging instruments and gains or losses from these derivatives are recorded immediately in other (income) expense, net.</w:t>
      </w:r>
    </w:p>
    <w:p>
      <w:pPr>
        <w:spacing w:after="0" w:line="71" w:lineRule="exact"/>
        <w:rPr>
          <w:rFonts w:ascii="Times New Roman" w:cs="Times New Roman" w:eastAsia="Times New Roman" w:hAnsi="Times New Roman"/>
          <w:sz w:val="17"/>
          <w:szCs w:val="17"/>
          <w:b w:val="1"/>
          <w:bCs w:val="1"/>
          <w:color w:val="auto"/>
        </w:rPr>
      </w:pPr>
    </w:p>
    <w:p>
      <w:pPr>
        <w:ind w:left="7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following table summarizes the net notional values of foreign exchange forward contracts outstanding: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4"/>
                <w:szCs w:val="14"/>
                <w:color w:val="auto"/>
              </w:rPr>
              <w:t>September 30, 2026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December 31, 2025</w:t>
            </w:r>
          </w:p>
        </w:tc>
      </w:tr>
      <w:tr>
        <w:trPr>
          <w:trHeight w:val="210"/>
        </w:trPr>
        <w:tc>
          <w:tcPr>
            <w:tcW w:w="800" w:type="dxa"/>
            <w:vAlign w:val="bottom"/>
          </w:tcPr>
          <w:p>
            <w:pPr>
              <w:spacing w:after="0"/>
              <w:rPr>
                <w:sz w:val="18"/>
                <w:szCs w:val="18"/>
                <w:color w:val="auto"/>
              </w:rPr>
            </w:pPr>
          </w:p>
        </w:tc>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Designated as cash flow hedging instruments:</w:t>
            </w:r>
          </w:p>
        </w:tc>
        <w:tc>
          <w:tcPr>
            <w:tcW w:w="26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exchange forward contracts - cash flow hedges</w:t>
            </w:r>
          </w:p>
        </w:tc>
        <w:tc>
          <w:tcPr>
            <w:tcW w:w="2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Not designated as cash flow hedging instruments:</w:t>
            </w:r>
          </w:p>
        </w:tc>
        <w:tc>
          <w:tcPr>
            <w:tcW w:w="2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800" w:type="dxa"/>
            <w:vAlign w:val="bottom"/>
          </w:tcPr>
          <w:p>
            <w:pPr>
              <w:spacing w:after="0"/>
              <w:rPr>
                <w:sz w:val="20"/>
                <w:szCs w:val="20"/>
                <w:color w:val="auto"/>
              </w:rPr>
            </w:pPr>
          </w:p>
        </w:tc>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exchange forward contracts - balance sheet hedges</w:t>
            </w:r>
          </w:p>
        </w:tc>
        <w:tc>
          <w:tcPr>
            <w:tcW w:w="2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20"/>
                <w:szCs w:val="20"/>
                <w:color w:val="auto"/>
              </w:rPr>
            </w:pPr>
          </w:p>
        </w:tc>
      </w:tr>
      <w:tr>
        <w:trPr>
          <w:trHeight w:val="589"/>
        </w:trPr>
        <w:tc>
          <w:tcPr>
            <w:tcW w:w="8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660" w:type="dxa"/>
            <w:vAlign w:val="bottom"/>
          </w:tcPr>
          <w:p>
            <w:pPr>
              <w:jc w:val="right"/>
              <w:ind w:right="221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80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color w:val="auto"/>
        </w:rPr>
        <w:t>MKS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315" w:lineRule="exact"/>
        <w:rPr>
          <w:sz w:val="20"/>
          <w:szCs w:val="20"/>
          <w:color w:val="auto"/>
        </w:rPr>
      </w:pPr>
    </w:p>
    <w:p>
      <w:pPr>
        <w:ind w:left="760" w:right="620"/>
        <w:spacing w:after="0" w:line="282" w:lineRule="auto"/>
        <w:rPr>
          <w:sz w:val="20"/>
          <w:szCs w:val="20"/>
          <w:color w:val="auto"/>
        </w:rPr>
      </w:pPr>
      <w:r>
        <w:rPr>
          <w:rFonts w:ascii="Times New Roman" w:cs="Times New Roman" w:eastAsia="Times New Roman" w:hAnsi="Times New Roman"/>
          <w:sz w:val="18"/>
          <w:szCs w:val="18"/>
          <w:color w:val="auto"/>
        </w:rPr>
        <w:t>As of September 30, 2026 and December 31, 2025, the Canadian dollar was the only notional contract designated as a cash flow hedging instrument.</w:t>
      </w:r>
    </w:p>
    <w:p>
      <w:pPr>
        <w:spacing w:after="0" w:line="54" w:lineRule="exact"/>
        <w:rPr>
          <w:sz w:val="20"/>
          <w:szCs w:val="20"/>
          <w:color w:val="auto"/>
        </w:rPr>
      </w:pPr>
    </w:p>
    <w:p>
      <w:pPr>
        <w:ind w:left="760" w:right="120"/>
        <w:spacing w:after="0" w:line="266" w:lineRule="auto"/>
        <w:rPr>
          <w:sz w:val="20"/>
          <w:szCs w:val="20"/>
          <w:color w:val="auto"/>
        </w:rPr>
      </w:pPr>
      <w:r>
        <w:rPr>
          <w:rFonts w:ascii="Times New Roman" w:cs="Times New Roman" w:eastAsia="Times New Roman" w:hAnsi="Times New Roman"/>
          <w:sz w:val="18"/>
          <w:szCs w:val="18"/>
          <w:color w:val="auto"/>
        </w:rPr>
        <w:t>The largest notional contracts for balance sheet hedges not designated as cash flow hedging instruments were denominated in the British pound, Hong Kong dollar and Euro as of September 30, 2026, and the Euro, Chinese yuan, British pound, and New Taiwan dollar as of December 31, 2025.</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Net Investment Hedges</w:t>
      </w:r>
    </w:p>
    <w:p>
      <w:pPr>
        <w:spacing w:after="0" w:line="225" w:lineRule="exact"/>
        <w:rPr>
          <w:sz w:val="20"/>
          <w:szCs w:val="20"/>
          <w:color w:val="auto"/>
        </w:rPr>
      </w:pPr>
    </w:p>
    <w:p>
      <w:pPr>
        <w:ind w:left="760" w:right="500"/>
        <w:spacing w:after="0" w:line="282" w:lineRule="auto"/>
        <w:rPr>
          <w:sz w:val="20"/>
          <w:szCs w:val="20"/>
          <w:color w:val="auto"/>
        </w:rPr>
      </w:pPr>
      <w:r>
        <w:rPr>
          <w:rFonts w:ascii="Times New Roman" w:cs="Times New Roman" w:eastAsia="Times New Roman" w:hAnsi="Times New Roman"/>
          <w:sz w:val="18"/>
          <w:szCs w:val="18"/>
          <w:color w:val="auto"/>
        </w:rPr>
        <w:t>The Company designates certain Euro-denominated debt as net investment hedges to hedge a portion of its net investments in certain of its entities with functional currencies denominated in the Euro.</w:t>
      </w:r>
    </w:p>
    <w:p>
      <w:pPr>
        <w:spacing w:after="0" w:line="54" w:lineRule="exact"/>
        <w:rPr>
          <w:sz w:val="20"/>
          <w:szCs w:val="20"/>
          <w:color w:val="auto"/>
        </w:rPr>
      </w:pPr>
    </w:p>
    <w:p>
      <w:pPr>
        <w:ind w:left="760" w:right="20"/>
        <w:spacing w:after="0" w:line="254" w:lineRule="auto"/>
        <w:rPr>
          <w:sz w:val="20"/>
          <w:szCs w:val="20"/>
          <w:color w:val="auto"/>
        </w:rPr>
      </w:pPr>
      <w:r>
        <w:rPr>
          <w:rFonts w:ascii="Times New Roman" w:cs="Times New Roman" w:eastAsia="Times New Roman" w:hAnsi="Times New Roman"/>
          <w:sz w:val="18"/>
          <w:szCs w:val="18"/>
          <w:color w:val="auto"/>
        </w:rPr>
        <w:t>On February 4, 2026, the Company designated the 2034 Notes, as defined and discussed further in Note 8, as a net investment hedge. As of September 30, 2026, the total principal outstanding amount under the 2034 Notes was €1,000 and the entire balance was designated as a net investment hedge. In addition, on January 28, 2026, the Company entered into a foreign exchange forward contract with a notional value of €990, to manage its exposure to foreign currency exchange rate fluctuations related to the principal of the 2034 Notes from January 28, 2026 through the settlement date of February 4, 2026. The foreign exchange forward contract was designated as a net investment hedge and the related gain was reflected in the proceeds from borrowing on the condensed consolidated statements of cash flows. As of September 30, 2026 and December 31, 2025, the total principal amount outstanding under the Euro Tranche B, as defined and described further in Note 8, was €533 and €587, respectively, and the entire balance was designated as a net investment hedge.</w:t>
      </w:r>
    </w:p>
    <w:p>
      <w:pPr>
        <w:spacing w:after="0" w:line="84" w:lineRule="exact"/>
        <w:rPr>
          <w:sz w:val="20"/>
          <w:szCs w:val="20"/>
          <w:color w:val="auto"/>
        </w:rPr>
      </w:pPr>
    </w:p>
    <w:p>
      <w:pPr>
        <w:ind w:left="760" w:right="540"/>
        <w:spacing w:after="0" w:line="266" w:lineRule="auto"/>
        <w:rPr>
          <w:sz w:val="20"/>
          <w:szCs w:val="20"/>
          <w:color w:val="auto"/>
        </w:rPr>
      </w:pPr>
      <w:r>
        <w:rPr>
          <w:rFonts w:ascii="Times New Roman" w:cs="Times New Roman" w:eastAsia="Times New Roman" w:hAnsi="Times New Roman"/>
          <w:sz w:val="18"/>
          <w:szCs w:val="18"/>
          <w:color w:val="auto"/>
        </w:rPr>
        <w:t>For these net investment hedges, the Company records foreign currency remeasurement gains and losses within a component of OCI. Recognition in earnings of amounts previously recorded in accumulated OCI is limited to circumstances such as complete or substantially complete liquidation or sale of the net investment in the hedged foreign operations.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Interest Rate Agreements</w:t>
      </w:r>
    </w:p>
    <w:p>
      <w:pPr>
        <w:spacing w:after="0" w:line="225" w:lineRule="exact"/>
        <w:rPr>
          <w:sz w:val="20"/>
          <w:szCs w:val="20"/>
          <w:color w:val="auto"/>
        </w:rPr>
      </w:pPr>
    </w:p>
    <w:p>
      <w:pPr>
        <w:ind w:left="760" w:right="260"/>
        <w:spacing w:after="0" w:line="255" w:lineRule="auto"/>
        <w:rPr>
          <w:sz w:val="20"/>
          <w:szCs w:val="20"/>
          <w:color w:val="auto"/>
        </w:rPr>
      </w:pPr>
      <w:r>
        <w:rPr>
          <w:rFonts w:ascii="Times New Roman" w:cs="Times New Roman" w:eastAsia="Times New Roman" w:hAnsi="Times New Roman"/>
          <w:sz w:val="18"/>
          <w:szCs w:val="18"/>
          <w:color w:val="auto"/>
        </w:rPr>
        <w:t>The Company has interest rate swap agreements, which are cash-flow hedges, maturing through January 31, 2029, that exchange a one-month forward-looking term rate based on the variable secured overnight financing rate (“Term SOFR”) paid on the outstanding balance of its USD Tranche B, as defined and further described in Note 8, to a fixed rate. The notional value of the agreements was $500 and $1,900 as of September 30, 2026 and December 31, 2025, respectively. The decrease in notional value of the agreements was due to the Company de-designating certain interest rate swap agreements in the first quarter of 2026 in connection with the Company’s voluntary prepayment of the USD Tranche B loan, which resulted in the interest rate swaps no longer being effective hedges. The impact to the condensed consolidated financial statements was immaterial.</w:t>
      </w:r>
    </w:p>
    <w:p>
      <w:pPr>
        <w:spacing w:after="0" w:line="81" w:lineRule="exact"/>
        <w:rPr>
          <w:sz w:val="20"/>
          <w:szCs w:val="20"/>
          <w:color w:val="auto"/>
        </w:rPr>
      </w:pPr>
    </w:p>
    <w:p>
      <w:pPr>
        <w:ind w:left="760" w:right="180"/>
        <w:spacing w:after="0" w:line="255" w:lineRule="auto"/>
        <w:rPr>
          <w:sz w:val="20"/>
          <w:szCs w:val="20"/>
          <w:color w:val="auto"/>
        </w:rPr>
      </w:pPr>
      <w:r>
        <w:rPr>
          <w:rFonts w:ascii="Times New Roman" w:cs="Times New Roman" w:eastAsia="Times New Roman" w:hAnsi="Times New Roman"/>
          <w:sz w:val="18"/>
          <w:szCs w:val="18"/>
          <w:color w:val="auto"/>
        </w:rPr>
        <w:t>The interest rate swaps are recorded at fair value on the balance sheet and changes in the fair value are recognized in OCI. To the extent these arrangements are no longer effective hedges, the hedging relationship will be discontinued and changes in the fair value of the hedging instruments from the date of the last effectiveness assessment through the current period will be recorded immediately in earnings. Amounts previously recorded in OCI will remain in OCI and will be reclassified to earnings when the interest payments impact consolidated earnings. If the Company determines that the interest payments are unlikely to occur, amounts previously recorded in OCI will be reclassified to earnings. The cash flows resulting from interest rate agreements were classified in cash flows from operating activities in the condensed consolidated statements of cash flows.</w:t>
      </w:r>
    </w:p>
    <w:p>
      <w:pPr>
        <w:spacing w:after="0" w:line="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the net gains (losses) on derivatives designated as cash flow hedging instruments: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8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color w:val="auto"/>
              </w:rPr>
              <w:t>Three Months Ended</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2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171"/>
        </w:trPr>
        <w:tc>
          <w:tcPr>
            <w:tcW w:w="80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September 30,</w:t>
            </w: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September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0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360" w:type="dxa"/>
            <w:vAlign w:val="bottom"/>
          </w:tcPr>
          <w:p>
            <w:pPr>
              <w:spacing w:after="0"/>
              <w:rPr>
                <w:sz w:val="12"/>
                <w:szCs w:val="12"/>
                <w:color w:val="auto"/>
              </w:rPr>
            </w:pPr>
          </w:p>
        </w:tc>
        <w:tc>
          <w:tcPr>
            <w:tcW w:w="94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298"/>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jc w:val="right"/>
              <w:ind w:right="334"/>
              <w:spacing w:after="0" w:line="142" w:lineRule="exact"/>
              <w:rPr>
                <w:sz w:val="20"/>
                <w:szCs w:val="20"/>
                <w:color w:val="auto"/>
              </w:rPr>
            </w:pPr>
            <w:r>
              <w:rPr>
                <w:rFonts w:ascii="Times New Roman" w:cs="Times New Roman" w:eastAsia="Times New Roman" w:hAnsi="Times New Roman"/>
                <w:sz w:val="14"/>
                <w:szCs w:val="14"/>
                <w:color w:val="auto"/>
                <w:w w:val="99"/>
              </w:rPr>
              <w:t>2025</w:t>
            </w:r>
          </w:p>
        </w:tc>
        <w:tc>
          <w:tcPr>
            <w:tcW w:w="100" w:type="dxa"/>
            <w:vAlign w:val="bottom"/>
          </w:tcPr>
          <w:p>
            <w:pPr>
              <w:spacing w:after="0"/>
              <w:rPr>
                <w:sz w:val="12"/>
                <w:szCs w:val="12"/>
                <w:color w:val="auto"/>
              </w:rPr>
            </w:pPr>
          </w:p>
        </w:tc>
      </w:tr>
      <w:tr>
        <w:trPr>
          <w:trHeight w:val="210"/>
        </w:trPr>
        <w:tc>
          <w:tcPr>
            <w:tcW w:w="800" w:type="dxa"/>
            <w:vAlign w:val="bottom"/>
          </w:tcPr>
          <w:p>
            <w:pPr>
              <w:spacing w:after="0"/>
              <w:rPr>
                <w:sz w:val="18"/>
                <w:szCs w:val="18"/>
                <w:color w:val="auto"/>
              </w:rPr>
            </w:pPr>
          </w:p>
        </w:tc>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Foreign exchange forward contracts-cash flow hedges:</w:t>
            </w:r>
          </w:p>
        </w:tc>
        <w:tc>
          <w:tcPr>
            <w:tcW w:w="80" w:type="dxa"/>
            <w:vAlign w:val="bottom"/>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(losses) gains recognized in OCI, net of tax</w:t>
            </w:r>
          </w:p>
        </w:tc>
        <w:tc>
          <w:tcPr>
            <w:tcW w:w="760" w:type="dxa"/>
            <w:vAlign w:val="bottom"/>
            <w:gridSpan w:val="2"/>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00" w:type="dxa"/>
            <w:vAlign w:val="bottom"/>
          </w:tcPr>
          <w:p>
            <w:pPr>
              <w:spacing w:after="0"/>
              <w:rPr>
                <w:sz w:val="18"/>
                <w:szCs w:val="18"/>
                <w:color w:val="auto"/>
              </w:rPr>
            </w:pPr>
          </w:p>
        </w:tc>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gains (losses) reclassified from accumulated OCI into cost of revenues</w:t>
            </w:r>
          </w:p>
        </w:tc>
        <w:tc>
          <w:tcPr>
            <w:tcW w:w="760" w:type="dxa"/>
            <w:vAlign w:val="bottom"/>
            <w:gridSpan w:val="2"/>
            <w:shd w:val="clear" w:color="auto" w:fill="CFF0FC"/>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Interest rate hedges:</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gains (losses) recognized in OCI, net of tax</w:t>
            </w:r>
          </w:p>
        </w:tc>
        <w:tc>
          <w:tcPr>
            <w:tcW w:w="760" w:type="dxa"/>
            <w:vAlign w:val="bottom"/>
            <w:gridSpan w:val="2"/>
            <w:shd w:val="clear" w:color="auto" w:fill="CFF0FC"/>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gridSpan w:val="2"/>
            <w:shd w:val="clear" w:color="auto" w:fill="CFF0FC"/>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5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80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gains (losses) reclassified from accumulated OCI into interest expense</w:t>
            </w:r>
          </w:p>
        </w:tc>
        <w:tc>
          <w:tcPr>
            <w:tcW w:w="760" w:type="dxa"/>
            <w:vAlign w:val="bottom"/>
            <w:gridSpan w:val="2"/>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r>
      <w:tr>
        <w:trPr>
          <w:trHeight w:val="589"/>
        </w:trPr>
        <w:tc>
          <w:tcPr>
            <w:tcW w:w="626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80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color w:val="auto"/>
        </w:rPr>
        <w:t>MKS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315" w:lineRule="exact"/>
        <w:rPr>
          <w:sz w:val="20"/>
          <w:szCs w:val="20"/>
          <w:color w:val="auto"/>
        </w:rPr>
      </w:pPr>
    </w:p>
    <w:p>
      <w:pPr>
        <w:jc w:val="both"/>
        <w:ind w:left="760" w:right="100"/>
        <w:spacing w:after="0" w:line="266" w:lineRule="auto"/>
        <w:rPr>
          <w:sz w:val="20"/>
          <w:szCs w:val="20"/>
          <w:color w:val="auto"/>
        </w:rPr>
      </w:pPr>
      <w:r>
        <w:rPr>
          <w:rFonts w:ascii="Times New Roman" w:cs="Times New Roman" w:eastAsia="Times New Roman" w:hAnsi="Times New Roman"/>
          <w:sz w:val="18"/>
          <w:szCs w:val="18"/>
          <w:color w:val="auto"/>
        </w:rPr>
        <w:t>The Company expects an immaterial amount to be reclassified from accumulated OCI into cost of revenues during the next 12 months related to foreign exchange forward contracts. The Company expects a net gain of approximately $7 to be reclassified from accumulated OCI into interest expense during the next 12 months related to interest rate hedges.</w:t>
      </w:r>
    </w:p>
    <w:p>
      <w:pPr>
        <w:spacing w:after="0" w:line="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the net gains (losses) on derivatives not designated as hedging instruments:</w:t>
      </w:r>
    </w:p>
    <w:p>
      <w:pPr>
        <w:spacing w:after="0" w:line="208"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20" w:type="dxa"/>
            <w:vAlign w:val="bottom"/>
            <w:gridSpan w:val="4"/>
          </w:tcPr>
          <w:p>
            <w:pPr>
              <w:jc w:val="center"/>
              <w:ind w:left="168"/>
              <w:spacing w:after="0"/>
              <w:rPr>
                <w:sz w:val="20"/>
                <w:szCs w:val="20"/>
                <w:color w:val="auto"/>
              </w:rPr>
            </w:pPr>
            <w:r>
              <w:rPr>
                <w:rFonts w:ascii="Times New Roman" w:cs="Times New Roman" w:eastAsia="Times New Roman" w:hAnsi="Times New Roman"/>
                <w:sz w:val="14"/>
                <w:szCs w:val="14"/>
                <w:color w:val="auto"/>
              </w:rPr>
              <w:t>Three Months Ended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171"/>
        </w:trPr>
        <w:tc>
          <w:tcPr>
            <w:tcW w:w="4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ind w:right="368"/>
              <w:spacing w:after="0"/>
              <w:rPr>
                <w:sz w:val="20"/>
                <w:szCs w:val="20"/>
                <w:color w:val="auto"/>
              </w:rPr>
            </w:pPr>
            <w:r>
              <w:rPr>
                <w:rFonts w:ascii="Times New Roman" w:cs="Times New Roman" w:eastAsia="Times New Roman" w:hAnsi="Times New Roman"/>
                <w:sz w:val="14"/>
                <w:szCs w:val="14"/>
                <w:color w:val="auto"/>
              </w:rPr>
              <w:t>September 30,</w:t>
            </w:r>
          </w:p>
        </w:tc>
        <w:tc>
          <w:tcPr>
            <w:tcW w:w="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left="404"/>
              <w:spacing w:after="0"/>
              <w:rPr>
                <w:sz w:val="20"/>
                <w:szCs w:val="20"/>
                <w:color w:val="auto"/>
              </w:rPr>
            </w:pPr>
            <w:r>
              <w:rPr>
                <w:rFonts w:ascii="Times New Roman" w:cs="Times New Roman" w:eastAsia="Times New Roman" w:hAnsi="Times New Roman"/>
                <w:sz w:val="14"/>
                <w:szCs w:val="14"/>
                <w:color w:val="auto"/>
              </w:rPr>
              <w:t>September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4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3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2025</w:t>
            </w:r>
          </w:p>
        </w:tc>
        <w:tc>
          <w:tcPr>
            <w:tcW w:w="2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color w:val="auto"/>
                <w:w w:val="99"/>
              </w:rPr>
              <w:t>2025</w:t>
            </w:r>
          </w:p>
        </w:tc>
        <w:tc>
          <w:tcPr>
            <w:tcW w:w="100" w:type="dxa"/>
            <w:vAlign w:val="bottom"/>
          </w:tcPr>
          <w:p>
            <w:pPr>
              <w:spacing w:after="0"/>
              <w:rPr>
                <w:sz w:val="17"/>
                <w:szCs w:val="17"/>
                <w:color w:val="auto"/>
              </w:rPr>
            </w:pPr>
          </w:p>
        </w:tc>
      </w:tr>
      <w:tr>
        <w:trPr>
          <w:trHeight w:val="210"/>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gains (losses) recognized in other (income) expense, net</w:t>
            </w:r>
          </w:p>
        </w:tc>
        <w:tc>
          <w:tcPr>
            <w:tcW w:w="1280" w:type="dxa"/>
            <w:vAlign w:val="bottom"/>
            <w:gridSpan w:val="2"/>
            <w:shd w:val="clear" w:color="auto" w:fill="CFF0FC"/>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5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bl>
    <w:p>
      <w:pPr>
        <w:spacing w:after="0" w:line="90" w:lineRule="exact"/>
        <w:rPr>
          <w:sz w:val="20"/>
          <w:szCs w:val="20"/>
          <w:color w:val="auto"/>
        </w:rPr>
      </w:pPr>
    </w:p>
    <w:p>
      <w:pPr>
        <w:ind w:left="760" w:right="140"/>
        <w:spacing w:after="0" w:line="266" w:lineRule="auto"/>
        <w:rPr>
          <w:sz w:val="20"/>
          <w:szCs w:val="20"/>
          <w:color w:val="auto"/>
        </w:rPr>
      </w:pPr>
      <w:r>
        <w:rPr>
          <w:rFonts w:ascii="Times New Roman" w:cs="Times New Roman" w:eastAsia="Times New Roman" w:hAnsi="Times New Roman"/>
          <w:sz w:val="18"/>
          <w:szCs w:val="18"/>
          <w:color w:val="auto"/>
        </w:rPr>
        <w:t>Derivative instruments are subject to master netting arrangements. However, the Company has elected to record these contracts on a gross basis in the condensed consolidated balance sheet. The location and fair value amounts of derivative instruments reported in the condensed consolidated balance sheet is disclosed in Note 4.</w:t>
      </w:r>
    </w:p>
    <w:p>
      <w:pPr>
        <w:spacing w:after="0" w:line="172" w:lineRule="exact"/>
        <w:rPr>
          <w:sz w:val="20"/>
          <w:szCs w:val="20"/>
          <w:color w:val="auto"/>
        </w:rPr>
      </w:pPr>
    </w:p>
    <w:p>
      <w:pPr>
        <w:ind w:left="760" w:hanging="752"/>
        <w:spacing w:after="0"/>
        <w:tabs>
          <w:tab w:leader="none" w:pos="7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29" w:lineRule="exact"/>
        <w:rPr>
          <w:rFonts w:ascii="Times New Roman" w:cs="Times New Roman" w:eastAsia="Times New Roman" w:hAnsi="Times New Roman"/>
          <w:sz w:val="18"/>
          <w:szCs w:val="18"/>
          <w:b w:val="1"/>
          <w:bCs w:val="1"/>
          <w:color w:val="auto"/>
        </w:rPr>
      </w:pP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Inventories consist of the following:</w:t>
      </w:r>
    </w:p>
    <w:p>
      <w:pPr>
        <w:spacing w:after="0" w:line="221" w:lineRule="exact"/>
        <w:rPr>
          <w:sz w:val="20"/>
          <w:szCs w:val="20"/>
          <w:color w:val="auto"/>
        </w:rPr>
      </w:pPr>
    </w:p>
    <w:tbl>
      <w:tblPr>
        <w:tblLayout w:type="fixed"/>
        <w:tblInd w:w="80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September 30, 2026</w:t>
            </w:r>
          </w:p>
        </w:tc>
        <w:tc>
          <w:tcPr>
            <w:tcW w:w="5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December 31, 2025</w:t>
            </w:r>
          </w:p>
        </w:tc>
        <w:tc>
          <w:tcPr>
            <w:tcW w:w="100" w:type="dxa"/>
            <w:vAlign w:val="bottom"/>
          </w:tcPr>
          <w:p>
            <w:pPr>
              <w:spacing w:after="0"/>
              <w:rPr>
                <w:sz w:val="14"/>
                <w:szCs w:val="14"/>
                <w:color w:val="auto"/>
              </w:rPr>
            </w:pPr>
          </w:p>
        </w:tc>
      </w:tr>
      <w:tr>
        <w:trPr>
          <w:trHeight w:val="209"/>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820" w:type="dxa"/>
            <w:vAlign w:val="bottom"/>
            <w:shd w:val="clear" w:color="auto" w:fill="CFF0FC"/>
          </w:tcPr>
          <w:p>
            <w:pPr>
              <w:jc w:val="right"/>
              <w:ind w:right="16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617</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1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82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188</w:t>
            </w:r>
          </w:p>
        </w:tc>
      </w:tr>
      <w:tr>
        <w:trPr>
          <w:trHeight w:val="20"/>
        </w:trPr>
        <w:tc>
          <w:tcPr>
            <w:tcW w:w="5520" w:type="dxa"/>
            <w:vAlign w:val="bottom"/>
            <w:shd w:val="clear" w:color="auto" w:fill="CFF0FC"/>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tcPr>
          <w:p>
            <w:pPr>
              <w:jc w:val="right"/>
              <w:ind w:right="16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921</w:t>
            </w:r>
          </w:p>
        </w:tc>
      </w:tr>
      <w:tr>
        <w:trPr>
          <w:trHeight w:val="20"/>
        </w:trPr>
        <w:tc>
          <w:tcPr>
            <w:tcW w:w="552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-170815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-170815</wp:posOffset>
            </wp:positionV>
            <wp:extent cx="5969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390" w:lineRule="exact"/>
        <w:rPr>
          <w:sz w:val="20"/>
          <w:szCs w:val="20"/>
          <w:color w:val="auto"/>
        </w:rPr>
      </w:pPr>
    </w:p>
    <w:p>
      <w:pPr>
        <w:ind w:left="760" w:right="8080" w:hanging="752"/>
        <w:spacing w:after="0" w:line="503" w:lineRule="auto"/>
        <w:tabs>
          <w:tab w:leader="none" w:pos="7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Goodwill and Intangible Assets </w:t>
      </w:r>
      <w:r>
        <w:rPr>
          <w:rFonts w:ascii="Times New Roman" w:cs="Times New Roman" w:eastAsia="Times New Roman" w:hAnsi="Times New Roman"/>
          <w:sz w:val="18"/>
          <w:szCs w:val="18"/>
          <w:u w:val="single" w:color="auto"/>
          <w:color w:val="auto"/>
        </w:rPr>
        <w:t>Goodwill</w:t>
      </w:r>
    </w:p>
    <w:p>
      <w:pPr>
        <w:ind w:left="760" w:right="3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Effective February 1, 2026, the Company reassigned goodwill to certain reporting units within PSD due to a reorganization of PSD. The goodwill was reassigned to the new reporting units using the relative fair value approach. The Company also concluded that the fair value of each reporting unit immediately before and after the reorganization exceeded its respective carrying value.</w:t>
      </w:r>
    </w:p>
    <w:p>
      <w:pPr>
        <w:spacing w:after="0" w:line="175" w:lineRule="exact"/>
        <w:rPr>
          <w:rFonts w:ascii="Times New Roman" w:cs="Times New Roman" w:eastAsia="Times New Roman" w:hAnsi="Times New Roman"/>
          <w:sz w:val="18"/>
          <w:szCs w:val="18"/>
          <w:b w:val="1"/>
          <w:bCs w:val="1"/>
          <w:color w:val="auto"/>
        </w:rPr>
      </w:pP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Goodwill associated with each of the Company’s reportable segments was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gridSpan w:val="2"/>
            <w:vMerge w:val="restart"/>
          </w:tcPr>
          <w:p>
            <w:pPr>
              <w:ind w:left="800"/>
              <w:spacing w:after="0"/>
              <w:rPr>
                <w:sz w:val="20"/>
                <w:szCs w:val="20"/>
                <w:color w:val="auto"/>
              </w:rPr>
            </w:pPr>
            <w:r>
              <w:rPr>
                <w:rFonts w:ascii="Times New Roman" w:cs="Times New Roman" w:eastAsia="Times New Roman" w:hAnsi="Times New Roman"/>
                <w:sz w:val="18"/>
                <w:szCs w:val="18"/>
                <w:color w:val="auto"/>
              </w:rPr>
              <w:t>Reportable segment:</w:t>
            </w:r>
          </w:p>
        </w:tc>
        <w:tc>
          <w:tcPr>
            <w:tcW w:w="5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VSD</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PSD</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MSD</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10"/>
        </w:trPr>
        <w:tc>
          <w:tcPr>
            <w:tcW w:w="544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goodwill at December 31, 2025</w:t>
            </w:r>
          </w:p>
        </w:tc>
        <w:tc>
          <w:tcPr>
            <w:tcW w:w="1300" w:type="dxa"/>
            <w:vAlign w:val="bottom"/>
            <w:gridSpan w:val="2"/>
            <w:shd w:val="clear" w:color="auto" w:fill="CFF0FC"/>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54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1,012</w:t>
            </w:r>
          </w:p>
        </w:tc>
        <w:tc>
          <w:tcPr>
            <w:tcW w:w="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10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goodwill at September 30, 2026</w:t>
            </w:r>
          </w:p>
        </w:tc>
        <w:tc>
          <w:tcPr>
            <w:tcW w:w="540" w:type="dxa"/>
            <w:vAlign w:val="bottom"/>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1,010</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4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Accumulated goodwill impairment at December 31, 2025</w:t>
            </w: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(1,833)</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charge</w:t>
            </w:r>
          </w:p>
        </w:tc>
        <w:tc>
          <w:tcPr>
            <w:tcW w:w="54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0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goodwill impairment at September 30, 2026</w:t>
            </w:r>
          </w:p>
        </w:tc>
        <w:tc>
          <w:tcPr>
            <w:tcW w:w="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(1,833)</w:t>
            </w:r>
          </w:p>
        </w:tc>
        <w:tc>
          <w:tcPr>
            <w:tcW w:w="0" w:type="dxa"/>
            <w:vAlign w:val="bottom"/>
          </w:tcPr>
          <w:p>
            <w:pPr>
              <w:spacing w:after="0"/>
              <w:rPr>
                <w:sz w:val="1"/>
                <w:szCs w:val="1"/>
                <w:color w:val="auto"/>
              </w:rPr>
            </w:pPr>
          </w:p>
        </w:tc>
      </w:tr>
      <w:tr>
        <w:trPr>
          <w:trHeight w:val="198"/>
        </w:trPr>
        <w:tc>
          <w:tcPr>
            <w:tcW w:w="80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800" w:type="dxa"/>
            <w:vAlign w:val="bottom"/>
          </w:tcPr>
          <w:p>
            <w:pPr>
              <w:spacing w:after="0"/>
              <w:rPr>
                <w:sz w:val="16"/>
                <w:szCs w:val="16"/>
                <w:color w:val="auto"/>
              </w:rPr>
            </w:pPr>
          </w:p>
        </w:tc>
        <w:tc>
          <w:tcPr>
            <w:tcW w:w="464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Goodwill, net of accumulated impairment and foreign currency</w:t>
            </w:r>
          </w:p>
        </w:tc>
        <w:tc>
          <w:tcPr>
            <w:tcW w:w="1300" w:type="dxa"/>
            <w:vAlign w:val="bottom"/>
            <w:gridSpan w:val="2"/>
            <w:vMerge w:val="restart"/>
            <w:shd w:val="clear" w:color="auto" w:fill="CFF0FC"/>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shd w:val="clear" w:color="auto" w:fill="CFF0FC"/>
          </w:tcPr>
          <w:p>
            <w:pPr>
              <w:spacing w:after="0"/>
              <w:rPr>
                <w:sz w:val="16"/>
                <w:szCs w:val="16"/>
                <w:color w:val="auto"/>
              </w:rPr>
            </w:pPr>
          </w:p>
        </w:tc>
        <w:tc>
          <w:tcPr>
            <w:tcW w:w="800" w:type="dxa"/>
            <w:vAlign w:val="bottom"/>
            <w:gridSpan w:val="2"/>
            <w:vMerge w:val="restart"/>
            <w:shd w:val="clear" w:color="auto" w:fill="CFF0FC"/>
          </w:tcPr>
          <w:p>
            <w:pPr>
              <w:jc w:val="right"/>
              <w:ind w:right="54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80" w:type="dxa"/>
            <w:vAlign w:val="bottom"/>
            <w:shd w:val="clear" w:color="auto" w:fill="CFF0FC"/>
          </w:tcPr>
          <w:p>
            <w:pPr>
              <w:spacing w:after="0"/>
              <w:rPr>
                <w:sz w:val="16"/>
                <w:szCs w:val="16"/>
                <w:color w:val="auto"/>
              </w:rPr>
            </w:pPr>
          </w:p>
        </w:tc>
        <w:tc>
          <w:tcPr>
            <w:tcW w:w="3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00" w:type="dxa"/>
            <w:vAlign w:val="bottom"/>
            <w:shd w:val="clear" w:color="auto" w:fill="CFF0FC"/>
          </w:tcPr>
          <w:p>
            <w:pPr>
              <w:spacing w:after="0"/>
              <w:rPr>
                <w:sz w:val="16"/>
                <w:szCs w:val="16"/>
                <w:color w:val="auto"/>
              </w:rPr>
            </w:pPr>
          </w:p>
        </w:tc>
        <w:tc>
          <w:tcPr>
            <w:tcW w:w="3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464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rPr>
              <w:t>translation adjustments at September 30, 2026</w:t>
            </w:r>
          </w:p>
        </w:tc>
        <w:tc>
          <w:tcPr>
            <w:tcW w:w="1300" w:type="dxa"/>
            <w:vAlign w:val="bottom"/>
            <w:gridSpan w:val="2"/>
            <w:vMerge w:val="continue"/>
            <w:shd w:val="clear" w:color="auto" w:fill="CFF0FC"/>
          </w:tcPr>
          <w:p>
            <w:pPr>
              <w:spacing w:after="0"/>
              <w:rPr>
                <w:sz w:val="20"/>
                <w:szCs w:val="20"/>
                <w:color w:val="auto"/>
              </w:rPr>
            </w:pPr>
          </w:p>
        </w:tc>
        <w:tc>
          <w:tcPr>
            <w:tcW w:w="380" w:type="dxa"/>
            <w:vAlign w:val="bottom"/>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gridSpan w:val="2"/>
            <w:vMerge w:val="continue"/>
            <w:shd w:val="clear" w:color="auto" w:fill="CFF0FC"/>
          </w:tcPr>
          <w:p>
            <w:pPr>
              <w:spacing w:after="0"/>
              <w:rPr>
                <w:sz w:val="20"/>
                <w:szCs w:val="20"/>
                <w:color w:val="auto"/>
              </w:rPr>
            </w:pPr>
          </w:p>
        </w:tc>
        <w:tc>
          <w:tcPr>
            <w:tcW w:w="440" w:type="dxa"/>
            <w:vAlign w:val="bottom"/>
            <w:vMerge w:val="continue"/>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40" w:type="dxa"/>
            <w:vAlign w:val="bottom"/>
            <w:gridSpan w:val="2"/>
            <w:vMerge w:val="continue"/>
            <w:shd w:val="clear" w:color="auto" w:fill="CFF0FC"/>
          </w:tcPr>
          <w:p>
            <w:pPr>
              <w:spacing w:after="0"/>
              <w:rPr>
                <w:sz w:val="20"/>
                <w:szCs w:val="20"/>
                <w:color w:val="auto"/>
              </w:rPr>
            </w:pPr>
          </w:p>
        </w:tc>
        <w:tc>
          <w:tcPr>
            <w:tcW w:w="88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60" w:type="dxa"/>
            <w:vAlign w:val="bottom"/>
            <w:gridSpan w:val="2"/>
            <w:vMerge w:val="continue"/>
            <w:shd w:val="clear" w:color="auto" w:fill="CFF0FC"/>
          </w:tcPr>
          <w:p>
            <w:pPr>
              <w:spacing w:after="0"/>
              <w:rPr>
                <w:sz w:val="20"/>
                <w:szCs w:val="20"/>
                <w:color w:val="auto"/>
              </w:rPr>
            </w:pPr>
          </w:p>
        </w:tc>
        <w:tc>
          <w:tcPr>
            <w:tcW w:w="90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588"/>
        </w:trPr>
        <w:tc>
          <w:tcPr>
            <w:tcW w:w="800" w:type="dxa"/>
            <w:vAlign w:val="bottom"/>
          </w:tcPr>
          <w:p>
            <w:pPr>
              <w:spacing w:after="0"/>
              <w:rPr>
                <w:sz w:val="24"/>
                <w:szCs w:val="24"/>
                <w:color w:val="auto"/>
              </w:rPr>
            </w:pPr>
          </w:p>
        </w:tc>
        <w:tc>
          <w:tcPr>
            <w:tcW w:w="4640" w:type="dxa"/>
            <w:vAlign w:val="bottom"/>
            <w:tcBorders>
              <w:top w:val="single" w:sz="8" w:color="CFF0FC"/>
            </w:tcBorders>
          </w:tcPr>
          <w:p>
            <w:pPr>
              <w:spacing w:after="0"/>
              <w:rPr>
                <w:sz w:val="24"/>
                <w:szCs w:val="24"/>
                <w:color w:val="auto"/>
              </w:rPr>
            </w:pPr>
          </w:p>
        </w:tc>
        <w:tc>
          <w:tcPr>
            <w:tcW w:w="540" w:type="dxa"/>
            <w:vAlign w:val="bottom"/>
            <w:tcBorders>
              <w:top w:val="single" w:sz="8" w:color="CFF0FC"/>
            </w:tcBorders>
          </w:tcPr>
          <w:p>
            <w:pPr>
              <w:jc w:val="right"/>
              <w:ind w:right="170"/>
              <w:spacing w:after="0"/>
              <w:rPr>
                <w:sz w:val="20"/>
                <w:szCs w:val="20"/>
                <w:color w:val="auto"/>
              </w:rPr>
            </w:pPr>
            <w:r>
              <w:rPr>
                <w:rFonts w:ascii="Times New Roman" w:cs="Times New Roman" w:eastAsia="Times New Roman" w:hAnsi="Times New Roman"/>
                <w:sz w:val="18"/>
                <w:szCs w:val="18"/>
                <w:color w:val="auto"/>
              </w:rPr>
              <w:t>14</w:t>
            </w:r>
          </w:p>
        </w:tc>
        <w:tc>
          <w:tcPr>
            <w:tcW w:w="7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0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-1447800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-1447800</wp:posOffset>
            </wp:positionV>
            <wp:extent cx="603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-1447800</wp:posOffset>
            </wp:positionV>
            <wp:extent cx="603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-1447800</wp:posOffset>
            </wp:positionV>
            <wp:extent cx="596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-908050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-890905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-908050</wp:posOffset>
            </wp:positionV>
            <wp:extent cx="603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-890905</wp:posOffset>
            </wp:positionV>
            <wp:extent cx="603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-908050</wp:posOffset>
            </wp:positionV>
            <wp:extent cx="603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-890905</wp:posOffset>
            </wp:positionV>
            <wp:extent cx="603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-908050</wp:posOffset>
            </wp:positionV>
            <wp:extent cx="596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-890905</wp:posOffset>
            </wp:positionV>
            <wp:extent cx="596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 w:name="page15"/>
    <w:bookmarkEnd w:id="14"/>
    <w:p>
      <w:pPr>
        <w:jc w:val="center"/>
        <w:ind w:right="740"/>
        <w:spacing w:after="0"/>
        <w:rPr>
          <w:sz w:val="20"/>
          <w:szCs w:val="20"/>
          <w:color w:val="auto"/>
        </w:rPr>
      </w:pPr>
      <w:r>
        <w:rPr>
          <w:rFonts w:ascii="Times New Roman" w:cs="Times New Roman" w:eastAsia="Times New Roman" w:hAnsi="Times New Roman"/>
          <w:sz w:val="18"/>
          <w:szCs w:val="18"/>
          <w:color w:val="auto"/>
        </w:rPr>
        <w:t>MKS INC.</w:t>
      </w:r>
    </w:p>
    <w:p>
      <w:pPr>
        <w:spacing w:after="0" w:line="27"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Intangible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intangible assets were comprised of the following:</w:t>
      </w:r>
    </w:p>
    <w:p>
      <w:pPr>
        <w:spacing w:after="0" w:line="10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 of September 30, 2026</w:t>
            </w:r>
          </w:p>
        </w:tc>
        <w:tc>
          <w:tcPr>
            <w:tcW w:w="260" w:type="dxa"/>
            <w:vAlign w:val="bottom"/>
          </w:tcPr>
          <w:p>
            <w:pPr>
              <w:spacing w:after="0"/>
              <w:rPr>
                <w:sz w:val="13"/>
                <w:szCs w:val="13"/>
                <w:color w:val="auto"/>
              </w:rPr>
            </w:pPr>
          </w:p>
        </w:tc>
        <w:tc>
          <w:tcPr>
            <w:tcW w:w="84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color w:val="auto"/>
              </w:rPr>
              <w:t>Gross</w:t>
            </w:r>
          </w:p>
        </w:tc>
        <w:tc>
          <w:tcPr>
            <w:tcW w:w="8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Accumulated Impair</w:t>
            </w:r>
          </w:p>
        </w:tc>
        <w:tc>
          <w:tcPr>
            <w:tcW w:w="180" w:type="dxa"/>
            <w:vAlign w:val="bottom"/>
          </w:tcPr>
          <w:p>
            <w:pPr>
              <w:spacing w:after="0"/>
              <w:rPr>
                <w:sz w:val="13"/>
                <w:szCs w:val="13"/>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Accumulated</w:t>
            </w:r>
          </w:p>
        </w:tc>
        <w:tc>
          <w:tcPr>
            <w:tcW w:w="100" w:type="dxa"/>
            <w:vAlign w:val="bottom"/>
          </w:tcPr>
          <w:p>
            <w:pPr>
              <w:spacing w:after="0"/>
              <w:rPr>
                <w:sz w:val="13"/>
                <w:szCs w:val="13"/>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Foreign Currency</w:t>
            </w:r>
          </w:p>
        </w:tc>
        <w:tc>
          <w:tcPr>
            <w:tcW w:w="280" w:type="dxa"/>
            <w:vAlign w:val="bottom"/>
          </w:tcPr>
          <w:p>
            <w:pPr>
              <w:spacing w:after="0"/>
              <w:rPr>
                <w:sz w:val="13"/>
                <w:szCs w:val="13"/>
                <w:color w:val="auto"/>
              </w:rPr>
            </w:pPr>
          </w:p>
        </w:tc>
        <w:tc>
          <w:tcPr>
            <w:tcW w:w="84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color w:val="auto"/>
              </w:rPr>
              <w:t>Net</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900" w:type="dxa"/>
            <w:vAlign w:val="bottom"/>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ment Charges</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Amortization</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color w:val="auto"/>
              </w:rPr>
              <w:t>Translation</w:t>
            </w: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Completed technology</w:t>
            </w:r>
          </w:p>
        </w:tc>
        <w:tc>
          <w:tcPr>
            <w:tcW w:w="260" w:type="dxa"/>
            <w:vAlign w:val="bottom"/>
            <w:tcBorders>
              <w:left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80" w:type="dxa"/>
            <w:vAlign w:val="bottom"/>
            <w:shd w:val="clear" w:color="auto" w:fill="CFF0FC"/>
          </w:tcPr>
          <w:p>
            <w:pPr>
              <w:spacing w:after="0"/>
              <w:rPr>
                <w:sz w:val="18"/>
                <w:szCs w:val="18"/>
                <w:color w:val="auto"/>
              </w:rPr>
            </w:pPr>
          </w:p>
        </w:tc>
        <w:tc>
          <w:tcPr>
            <w:tcW w:w="22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CFF0FC"/>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(152)</w:t>
            </w:r>
          </w:p>
        </w:tc>
        <w:tc>
          <w:tcPr>
            <w:tcW w:w="18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(656)</w:t>
            </w:r>
          </w:p>
        </w:tc>
        <w:tc>
          <w:tcPr>
            <w:tcW w:w="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CFF0FC"/>
            </w:tcBorders>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Borders>
              <w:left w:val="single" w:sz="8" w:color="CFF0FC"/>
            </w:tcBorders>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Patents, trademarks, trade names and other</w:t>
            </w:r>
          </w:p>
        </w:tc>
        <w:tc>
          <w:tcPr>
            <w:tcW w:w="260" w:type="dxa"/>
            <w:vAlign w:val="bottom"/>
            <w:tcBorders>
              <w:left w:val="single" w:sz="8" w:color="CFF0FC"/>
            </w:tcBorders>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tcBorders>
              <w:right w:val="single" w:sz="8" w:color="CFF0FC"/>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Borders>
              <w:left w:val="single" w:sz="8" w:color="CFF0FC"/>
            </w:tcBorders>
            <w:shd w:val="clear" w:color="auto" w:fill="CFF0FC"/>
          </w:tcPr>
          <w:p>
            <w:pPr>
              <w:spacing w:after="0"/>
              <w:rPr>
                <w:sz w:val="18"/>
                <w:szCs w:val="18"/>
                <w:color w:val="auto"/>
              </w:rPr>
            </w:pPr>
          </w:p>
        </w:tc>
        <w:tc>
          <w:tcPr>
            <w:tcW w:w="118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tcBorders>
              <w:right w:val="single" w:sz="8" w:color="CFF0FC"/>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Borders>
              <w:left w:val="single" w:sz="8" w:color="CFF0FC"/>
            </w:tcBorders>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shd w:val="clear" w:color="auto" w:fill="CFF0FC"/>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840" w:type="dxa"/>
            <w:vAlign w:val="bottom"/>
            <w:tcBorders>
              <w:right w:val="single" w:sz="8" w:color="CFF0FC"/>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0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tcBorders>
              <w:left w:val="single" w:sz="8" w:color="CFF0FC"/>
            </w:tcBorders>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left w:val="single" w:sz="8" w:color="CFF0FC"/>
            </w:tcBorders>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3,723</w:t>
            </w:r>
          </w:p>
        </w:tc>
        <w:tc>
          <w:tcPr>
            <w:tcW w:w="8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(1,537)</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Accumulated Impa</w:t>
            </w:r>
          </w:p>
        </w:tc>
        <w:tc>
          <w:tcPr>
            <w:tcW w:w="180" w:type="dxa"/>
            <w:vAlign w:val="bottom"/>
          </w:tcPr>
          <w:p>
            <w:pPr>
              <w:spacing w:after="0"/>
              <w:rPr>
                <w:sz w:val="19"/>
                <w:szCs w:val="19"/>
                <w:color w:val="auto"/>
              </w:rPr>
            </w:pPr>
          </w:p>
        </w:tc>
        <w:tc>
          <w:tcPr>
            <w:tcW w:w="11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color w:val="auto"/>
              </w:rPr>
              <w:t>Accumulated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center"/>
              <w:ind w:right="316"/>
              <w:spacing w:after="0"/>
              <w:rPr>
                <w:sz w:val="20"/>
                <w:szCs w:val="20"/>
                <w:color w:val="auto"/>
              </w:rPr>
            </w:pPr>
            <w:r>
              <w:rPr>
                <w:rFonts w:ascii="Times New Roman" w:cs="Times New Roman" w:eastAsia="Times New Roman" w:hAnsi="Times New Roman"/>
                <w:sz w:val="14"/>
                <w:szCs w:val="14"/>
                <w:color w:val="auto"/>
              </w:rPr>
              <w:t>Foreign</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3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 of December 31, 2025</w:t>
            </w:r>
          </w:p>
        </w:tc>
        <w:tc>
          <w:tcPr>
            <w:tcW w:w="260" w:type="dxa"/>
            <w:vAlign w:val="bottom"/>
          </w:tcPr>
          <w:p>
            <w:pPr>
              <w:spacing w:after="0"/>
              <w:rPr>
                <w:sz w:val="12"/>
                <w:szCs w:val="12"/>
                <w:color w:val="auto"/>
              </w:rPr>
            </w:pPr>
          </w:p>
        </w:tc>
        <w:tc>
          <w:tcPr>
            <w:tcW w:w="84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color w:val="auto"/>
              </w:rPr>
              <w:t>Gross</w:t>
            </w:r>
          </w:p>
        </w:tc>
        <w:tc>
          <w:tcPr>
            <w:tcW w:w="8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296"/>
              <w:spacing w:after="0" w:line="149" w:lineRule="exact"/>
              <w:rPr>
                <w:sz w:val="20"/>
                <w:szCs w:val="20"/>
                <w:color w:val="auto"/>
              </w:rPr>
            </w:pPr>
            <w:r>
              <w:rPr>
                <w:rFonts w:ascii="Times New Roman" w:cs="Times New Roman" w:eastAsia="Times New Roman" w:hAnsi="Times New Roman"/>
                <w:sz w:val="14"/>
                <w:szCs w:val="14"/>
                <w:color w:val="auto"/>
              </w:rPr>
              <w:t>Currency</w:t>
            </w:r>
          </w:p>
        </w:tc>
        <w:tc>
          <w:tcPr>
            <w:tcW w:w="280" w:type="dxa"/>
            <w:vAlign w:val="bottom"/>
          </w:tcPr>
          <w:p>
            <w:pPr>
              <w:spacing w:after="0"/>
              <w:rPr>
                <w:sz w:val="12"/>
                <w:szCs w:val="12"/>
                <w:color w:val="auto"/>
              </w:rPr>
            </w:pPr>
          </w:p>
        </w:tc>
        <w:tc>
          <w:tcPr>
            <w:tcW w:w="84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color w:val="auto"/>
              </w:rPr>
              <w:t>Net</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00" w:type="dxa"/>
            <w:vAlign w:val="bottom"/>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color w:val="auto"/>
              </w:rPr>
              <w:t>irment Charges</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color w:val="auto"/>
              </w:rPr>
              <w:t>Amortization</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256"/>
              <w:spacing w:after="0"/>
              <w:rPr>
                <w:sz w:val="20"/>
                <w:szCs w:val="20"/>
                <w:color w:val="auto"/>
              </w:rPr>
            </w:pPr>
            <w:r>
              <w:rPr>
                <w:rFonts w:ascii="Times New Roman" w:cs="Times New Roman" w:eastAsia="Times New Roman" w:hAnsi="Times New Roman"/>
                <w:sz w:val="14"/>
                <w:szCs w:val="14"/>
                <w:color w:val="auto"/>
              </w:rPr>
              <w:t>Translation</w:t>
            </w: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Completed technology</w:t>
            </w:r>
          </w:p>
        </w:tc>
        <w:tc>
          <w:tcPr>
            <w:tcW w:w="260" w:type="dxa"/>
            <w:vAlign w:val="bottom"/>
            <w:tcBorders>
              <w:left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80" w:type="dxa"/>
            <w:vAlign w:val="bottom"/>
            <w:shd w:val="clear" w:color="auto" w:fill="CFF0FC"/>
          </w:tcPr>
          <w:p>
            <w:pPr>
              <w:spacing w:after="0"/>
              <w:rPr>
                <w:sz w:val="18"/>
                <w:szCs w:val="18"/>
                <w:color w:val="auto"/>
              </w:rPr>
            </w:pPr>
          </w:p>
        </w:tc>
        <w:tc>
          <w:tcPr>
            <w:tcW w:w="22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tcBorders>
              <w:left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(587)</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CFF0FC"/>
            </w:tcBorders>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Borders>
              <w:left w:val="single" w:sz="8" w:color="CFF0FC"/>
            </w:tcBorders>
            <w:shd w:val="clear" w:color="auto" w:fill="CFF0FC"/>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Patents, trademarks, trade names and other</w:t>
            </w:r>
          </w:p>
        </w:tc>
        <w:tc>
          <w:tcPr>
            <w:tcW w:w="260" w:type="dxa"/>
            <w:vAlign w:val="bottom"/>
            <w:tcBorders>
              <w:left w:val="single" w:sz="8" w:color="CFF0FC"/>
            </w:tcBorders>
            <w:shd w:val="clear" w:color="auto" w:fill="CFF0FC"/>
          </w:tcPr>
          <w:p>
            <w:pPr>
              <w:spacing w:after="0"/>
              <w:rPr>
                <w:sz w:val="18"/>
                <w:szCs w:val="18"/>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right w:val="single" w:sz="8" w:color="CFF0FC"/>
            </w:tcBorders>
            <w:shd w:val="clear" w:color="auto" w:fill="CFF0FC"/>
          </w:tcPr>
          <w:p>
            <w:pPr>
              <w:spacing w:after="0"/>
              <w:rPr>
                <w:sz w:val="18"/>
                <w:szCs w:val="18"/>
                <w:color w:val="auto"/>
              </w:rPr>
            </w:pPr>
          </w:p>
        </w:tc>
        <w:tc>
          <w:tcPr>
            <w:tcW w:w="180" w:type="dxa"/>
            <w:vAlign w:val="bottom"/>
            <w:tcBorders>
              <w:left w:val="single" w:sz="8" w:color="CFF0FC"/>
            </w:tcBorders>
            <w:shd w:val="clear" w:color="auto" w:fill="CFF0FC"/>
          </w:tcPr>
          <w:p>
            <w:pPr>
              <w:spacing w:after="0"/>
              <w:rPr>
                <w:sz w:val="18"/>
                <w:szCs w:val="18"/>
                <w:color w:val="auto"/>
              </w:rPr>
            </w:pPr>
          </w:p>
        </w:tc>
        <w:tc>
          <w:tcPr>
            <w:tcW w:w="118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tcBorders>
              <w:right w:val="single" w:sz="8" w:color="CFF0FC"/>
            </w:tcBorders>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Borders>
              <w:left w:val="single" w:sz="8" w:color="CFF0FC"/>
            </w:tcBorders>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shd w:val="clear" w:color="auto" w:fill="CFF0FC"/>
          </w:tcPr>
          <w:p>
            <w:pPr>
              <w:spacing w:after="0" w:line="20" w:lineRule="exact"/>
              <w:rPr>
                <w:sz w:val="1"/>
                <w:szCs w:val="1"/>
                <w:color w:val="auto"/>
              </w:rPr>
            </w:pPr>
          </w:p>
        </w:tc>
        <w:tc>
          <w:tcPr>
            <w:tcW w:w="260" w:type="dxa"/>
            <w:vAlign w:val="bottom"/>
            <w:tcBorders>
              <w:left w:val="single" w:sz="8" w:color="CFF0FC"/>
            </w:tcBorders>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tcBorders>
              <w:right w:val="single" w:sz="8" w:color="CFF0FC"/>
            </w:tcBorders>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tcPr>
          <w:p>
            <w:pPr>
              <w:spacing w:after="0"/>
              <w:rPr>
                <w:sz w:val="18"/>
                <w:szCs w:val="18"/>
                <w:color w:val="auto"/>
              </w:rPr>
            </w:pP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3,721</w:t>
            </w:r>
          </w:p>
        </w:tc>
        <w:tc>
          <w:tcPr>
            <w:tcW w:w="8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tcPr>
          <w:p>
            <w:pPr>
              <w:spacing w:after="0"/>
              <w:rPr>
                <w:sz w:val="18"/>
                <w:szCs w:val="18"/>
                <w:color w:val="auto"/>
              </w:rPr>
            </w:pP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3182620</wp:posOffset>
            </wp:positionH>
            <wp:positionV relativeFrom="paragraph">
              <wp:posOffset>-1122045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4108450</wp:posOffset>
            </wp:positionH>
            <wp:positionV relativeFrom="paragraph">
              <wp:posOffset>-1122045</wp:posOffset>
            </wp:positionV>
            <wp:extent cx="603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4999990</wp:posOffset>
            </wp:positionH>
            <wp:positionV relativeFrom="paragraph">
              <wp:posOffset>-1122045</wp:posOffset>
            </wp:positionV>
            <wp:extent cx="603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5780405</wp:posOffset>
            </wp:positionH>
            <wp:positionV relativeFrom="paragraph">
              <wp:posOffset>-1122045</wp:posOffset>
            </wp:positionV>
            <wp:extent cx="603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6594475</wp:posOffset>
            </wp:positionH>
            <wp:positionV relativeFrom="paragraph">
              <wp:posOffset>-1122045</wp:posOffset>
            </wp:positionV>
            <wp:extent cx="596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3199765</wp:posOffset>
            </wp:positionH>
            <wp:positionV relativeFrom="paragraph">
              <wp:posOffset>-170815</wp:posOffset>
            </wp:positionV>
            <wp:extent cx="596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4039870</wp:posOffset>
            </wp:positionH>
            <wp:positionV relativeFrom="paragraph">
              <wp:posOffset>-170815</wp:posOffset>
            </wp:positionV>
            <wp:extent cx="596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4957445</wp:posOffset>
            </wp:positionH>
            <wp:positionV relativeFrom="paragraph">
              <wp:posOffset>-170815</wp:posOffset>
            </wp:positionV>
            <wp:extent cx="603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5746115</wp:posOffset>
            </wp:positionH>
            <wp:positionV relativeFrom="paragraph">
              <wp:posOffset>-170815</wp:posOffset>
            </wp:positionV>
            <wp:extent cx="603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6586220</wp:posOffset>
            </wp:positionH>
            <wp:positionV relativeFrom="paragraph">
              <wp:posOffset>-170815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Aggregate amortization expense related to acquired intangible assets for the nine months ended September 30, 2026 and 2025 was $187 and $184,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amortization expense related to acquired intangible assets for future years is as follows:</w:t>
      </w:r>
    </w:p>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8040" w:type="dxa"/>
            <w:vAlign w:val="bottom"/>
          </w:tcPr>
          <w:p>
            <w:pPr>
              <w:spacing w:after="0"/>
              <w:rPr>
                <w:sz w:val="20"/>
                <w:szCs w:val="20"/>
                <w:color w:val="auto"/>
              </w:rPr>
            </w:pPr>
            <w:r>
              <w:rPr>
                <w:rFonts w:ascii="Times New Roman" w:cs="Times New Roman" w:eastAsia="Times New Roman" w:hAnsi="Times New Roman"/>
                <w:sz w:val="14"/>
                <w:szCs w:val="14"/>
                <w:color w:val="auto"/>
              </w:rPr>
              <w:t>Year</w:t>
            </w:r>
          </w:p>
        </w:tc>
        <w:tc>
          <w:tcPr>
            <w:tcW w:w="500" w:type="dxa"/>
            <w:vAlign w:val="bottom"/>
          </w:tcPr>
          <w:p>
            <w:pPr>
              <w:spacing w:after="0"/>
              <w:rPr>
                <w:sz w:val="14"/>
                <w:szCs w:val="14"/>
                <w:color w:val="auto"/>
              </w:rPr>
            </w:pPr>
          </w:p>
        </w:tc>
        <w:tc>
          <w:tcPr>
            <w:tcW w:w="19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Amount</w:t>
            </w:r>
          </w:p>
        </w:tc>
      </w:tr>
      <w:tr>
        <w:trPr>
          <w:trHeight w:val="210"/>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 (remaining)</w:t>
            </w:r>
          </w:p>
        </w:tc>
        <w:tc>
          <w:tcPr>
            <w:tcW w:w="500" w:type="dxa"/>
            <w:vAlign w:val="bottom"/>
            <w:tcBorders>
              <w:top w:val="single" w:sz="8" w:color="auto"/>
            </w:tcBorders>
            <w:shd w:val="clear" w:color="auto" w:fill="CFF0FC"/>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FF0FC"/>
          </w:tcPr>
          <w:p>
            <w:pPr>
              <w:spacing w:after="0"/>
              <w:rPr>
                <w:sz w:val="18"/>
                <w:szCs w:val="18"/>
                <w:color w:val="auto"/>
              </w:rPr>
            </w:pP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8"/>
                <w:szCs w:val="18"/>
                <w:color w:val="auto"/>
              </w:rPr>
            </w:pPr>
          </w:p>
        </w:tc>
      </w:tr>
      <w:tr>
        <w:trPr>
          <w:trHeight w:val="216"/>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50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FF0FC"/>
          </w:tcPr>
          <w:p>
            <w:pPr>
              <w:spacing w:after="0"/>
              <w:rPr>
                <w:sz w:val="18"/>
                <w:szCs w:val="18"/>
                <w:color w:val="auto"/>
              </w:rPr>
            </w:pP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5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8"/>
                <w:szCs w:val="18"/>
                <w:color w:val="auto"/>
              </w:rPr>
            </w:pPr>
          </w:p>
        </w:tc>
      </w:tr>
      <w:tr>
        <w:trPr>
          <w:trHeight w:val="216"/>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50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FF0FC"/>
          </w:tcPr>
          <w:p>
            <w:pPr>
              <w:spacing w:after="0"/>
              <w:rPr>
                <w:sz w:val="18"/>
                <w:szCs w:val="18"/>
                <w:color w:val="auto"/>
              </w:rPr>
            </w:pP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2031</w:t>
            </w:r>
          </w:p>
        </w:tc>
        <w:tc>
          <w:tcPr>
            <w:tcW w:w="5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8"/>
                <w:szCs w:val="18"/>
                <w:color w:val="auto"/>
              </w:rPr>
            </w:pPr>
          </w:p>
        </w:tc>
      </w:tr>
      <w:tr>
        <w:trPr>
          <w:trHeight w:val="216"/>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shd w:val="clear" w:color="auto" w:fill="CFF0FC"/>
          </w:tcPr>
          <w:p>
            <w:pPr>
              <w:spacing w:after="0"/>
              <w:rPr>
                <w:sz w:val="18"/>
                <w:szCs w:val="18"/>
                <w:color w:val="auto"/>
              </w:rPr>
            </w:pPr>
          </w:p>
        </w:tc>
      </w:tr>
    </w:tbl>
    <w:p>
      <w:pPr>
        <w:spacing w:after="0" w:line="9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excluded from the above table intangible assets of $56 of indefinite-lived trademarks and trade names, which were not subject to amortization.</w:t>
      </w:r>
    </w:p>
    <w:p>
      <w:pPr>
        <w:spacing w:after="0" w:line="12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769"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color w:val="auto"/>
        </w:rPr>
        <w:t>MKS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200" w:lineRule="exact"/>
        <w:rPr>
          <w:sz w:val="20"/>
          <w:szCs w:val="20"/>
          <w:color w:val="auto"/>
        </w:rPr>
      </w:pPr>
    </w:p>
    <w:p>
      <w:pPr>
        <w:spacing w:after="0" w:line="219" w:lineRule="exact"/>
        <w:rPr>
          <w:sz w:val="20"/>
          <w:szCs w:val="20"/>
          <w:color w:val="auto"/>
        </w:rPr>
      </w:pPr>
    </w:p>
    <w:p>
      <w:pPr>
        <w:ind w:left="760" w:hanging="752"/>
        <w:spacing w:after="0"/>
        <w:tabs>
          <w:tab w:leader="none" w:pos="7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9" w:lineRule="exact"/>
        <w:rPr>
          <w:rFonts w:ascii="Times New Roman" w:cs="Times New Roman" w:eastAsia="Times New Roman" w:hAnsi="Times New Roman"/>
          <w:sz w:val="18"/>
          <w:szCs w:val="18"/>
          <w:b w:val="1"/>
          <w:bCs w:val="1"/>
          <w:color w:val="auto"/>
        </w:rPr>
      </w:pP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outstanding debt was as follows:</w:t>
      </w:r>
    </w:p>
    <w:p>
      <w:pPr>
        <w:spacing w:after="0" w:line="167" w:lineRule="exact"/>
        <w:rPr>
          <w:sz w:val="20"/>
          <w:szCs w:val="20"/>
          <w:color w:val="auto"/>
        </w:rPr>
      </w:pPr>
    </w:p>
    <w:tbl>
      <w:tblPr>
        <w:tblLayout w:type="fixed"/>
        <w:tblInd w:w="80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September 30, 2026</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December 31, 2025</w:t>
            </w:r>
          </w:p>
        </w:tc>
      </w:tr>
      <w:tr>
        <w:trPr>
          <w:trHeight w:val="20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20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Term Loan Facility</w:t>
            </w:r>
          </w:p>
        </w:tc>
        <w:tc>
          <w:tcPr>
            <w:tcW w:w="2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8"/>
                <w:szCs w:val="18"/>
                <w:color w:val="auto"/>
              </w:rPr>
            </w:pPr>
          </w:p>
        </w:tc>
      </w:tr>
      <w:tr>
        <w:trPr>
          <w:trHeight w:val="209"/>
        </w:trPr>
        <w:tc>
          <w:tcPr>
            <w:tcW w:w="5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Convertible Notes</w:t>
            </w:r>
          </w:p>
        </w:tc>
        <w:tc>
          <w:tcPr>
            <w:tcW w:w="20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Debt issuance costs - Convertible Notes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16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Convertible Notes, net</w:t>
            </w:r>
          </w:p>
        </w:tc>
        <w:tc>
          <w:tcPr>
            <w:tcW w:w="20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short-term debt, net</w:t>
            </w:r>
          </w:p>
        </w:tc>
        <w:tc>
          <w:tcPr>
            <w:tcW w:w="2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1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Long-term debt:</w:t>
            </w:r>
          </w:p>
        </w:tc>
        <w:tc>
          <w:tcPr>
            <w:tcW w:w="2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Term Loan Facility</w:t>
            </w:r>
          </w:p>
        </w:tc>
        <w:tc>
          <w:tcPr>
            <w:tcW w:w="2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0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Debt issuance costs - Term Loan Facility</w:t>
            </w:r>
          </w:p>
        </w:tc>
        <w:tc>
          <w:tcPr>
            <w:tcW w:w="2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r>
      <w:tr>
        <w:trPr>
          <w:trHeight w:val="209"/>
        </w:trPr>
        <w:tc>
          <w:tcPr>
            <w:tcW w:w="5160" w:type="dxa"/>
            <w:vAlign w:val="bottom"/>
            <w:tcBorders>
              <w:top w:val="single" w:sz="8" w:color="CFF0FC"/>
            </w:tcBorders>
          </w:tcPr>
          <w:p>
            <w:pPr>
              <w:ind w:left="360"/>
              <w:spacing w:after="0"/>
              <w:rPr>
                <w:sz w:val="20"/>
                <w:szCs w:val="20"/>
                <w:color w:val="auto"/>
              </w:rPr>
            </w:pPr>
            <w:r>
              <w:rPr>
                <w:rFonts w:ascii="Times New Roman" w:cs="Times New Roman" w:eastAsia="Times New Roman" w:hAnsi="Times New Roman"/>
                <w:sz w:val="18"/>
                <w:szCs w:val="18"/>
                <w:color w:val="auto"/>
              </w:rPr>
              <w:t>Term Loan Facility, net</w:t>
            </w:r>
          </w:p>
        </w:tc>
        <w:tc>
          <w:tcPr>
            <w:tcW w:w="206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100" w:type="dxa"/>
            <w:vAlign w:val="bottom"/>
            <w:tcBorders>
              <w:top w:val="single" w:sz="8" w:color="CFF0FC"/>
            </w:tcBorders>
          </w:tcPr>
          <w:p>
            <w:pPr>
              <w:spacing w:after="0"/>
              <w:rPr>
                <w:sz w:val="18"/>
                <w:szCs w:val="18"/>
                <w:color w:val="auto"/>
              </w:rPr>
            </w:pPr>
          </w:p>
        </w:tc>
      </w:tr>
      <w:tr>
        <w:trPr>
          <w:trHeight w:val="210"/>
        </w:trPr>
        <w:tc>
          <w:tcPr>
            <w:tcW w:w="5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Convertible Notes</w:t>
            </w:r>
          </w:p>
        </w:tc>
        <w:tc>
          <w:tcPr>
            <w:tcW w:w="2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Debt issuance costs - Convertible Notes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r>
      <w:tr>
        <w:trPr>
          <w:trHeight w:val="209"/>
        </w:trPr>
        <w:tc>
          <w:tcPr>
            <w:tcW w:w="516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Convertible Notes, net</w:t>
            </w:r>
          </w:p>
        </w:tc>
        <w:tc>
          <w:tcPr>
            <w:tcW w:w="20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2034 Notes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Debt issuance costs - 2034 Notes</w:t>
            </w:r>
          </w:p>
        </w:tc>
        <w:tc>
          <w:tcPr>
            <w:tcW w:w="2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160" w:type="dxa"/>
            <w:vAlign w:val="bottom"/>
            <w:tcBorders>
              <w:top w:val="single" w:sz="8" w:color="CFF0FC"/>
            </w:tcBorders>
          </w:tcPr>
          <w:p>
            <w:pPr>
              <w:ind w:left="360"/>
              <w:spacing w:after="0"/>
              <w:rPr>
                <w:sz w:val="20"/>
                <w:szCs w:val="20"/>
                <w:color w:val="auto"/>
              </w:rPr>
            </w:pPr>
            <w:r>
              <w:rPr>
                <w:rFonts w:ascii="Times New Roman" w:cs="Times New Roman" w:eastAsia="Times New Roman" w:hAnsi="Times New Roman"/>
                <w:sz w:val="18"/>
                <w:szCs w:val="18"/>
                <w:color w:val="auto"/>
              </w:rPr>
              <w:t>2034 Notes, net</w:t>
            </w:r>
          </w:p>
        </w:tc>
        <w:tc>
          <w:tcPr>
            <w:tcW w:w="206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8"/>
                <w:szCs w:val="18"/>
                <w:color w:val="auto"/>
              </w:rPr>
            </w:pPr>
          </w:p>
        </w:tc>
      </w:tr>
      <w:tr>
        <w:trPr>
          <w:trHeight w:val="230"/>
        </w:trPr>
        <w:tc>
          <w:tcPr>
            <w:tcW w:w="51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Total long-term debt, net</w:t>
            </w:r>
          </w:p>
        </w:tc>
        <w:tc>
          <w:tcPr>
            <w:tcW w:w="2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1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4,150</w:t>
            </w:r>
          </w:p>
        </w:tc>
        <w:tc>
          <w:tcPr>
            <w:tcW w:w="100" w:type="dxa"/>
            <w:vAlign w:val="bottom"/>
            <w:shd w:val="clear" w:color="auto" w:fill="CFF0FC"/>
          </w:tcPr>
          <w:p>
            <w:pPr>
              <w:spacing w:after="0"/>
              <w:rPr>
                <w:sz w:val="19"/>
                <w:szCs w:val="19"/>
                <w:color w:val="auto"/>
              </w:rPr>
            </w:pPr>
          </w:p>
        </w:tc>
      </w:tr>
      <w:tr>
        <w:trPr>
          <w:trHeight w:val="20"/>
        </w:trPr>
        <w:tc>
          <w:tcPr>
            <w:tcW w:w="5160" w:type="dxa"/>
            <w:vAlign w:val="bottom"/>
            <w:tcBorders>
              <w:top w:val="single" w:sz="8" w:color="CFF0FC"/>
            </w:tcBorders>
            <w:shd w:val="clear" w:color="auto" w:fill="CFF0FC"/>
          </w:tcPr>
          <w:p>
            <w:pPr>
              <w:spacing w:after="0" w:line="20" w:lineRule="exact"/>
              <w:rPr>
                <w:sz w:val="1"/>
                <w:szCs w:val="1"/>
                <w:color w:val="auto"/>
              </w:rPr>
            </w:pPr>
          </w:p>
        </w:tc>
        <w:tc>
          <w:tcPr>
            <w:tcW w:w="20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-1756410</wp:posOffset>
            </wp:positionV>
            <wp:extent cx="603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-1756410</wp:posOffset>
            </wp:positionV>
            <wp:extent cx="596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-1174115</wp:posOffset>
            </wp:positionV>
            <wp:extent cx="603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-1174115</wp:posOffset>
            </wp:positionV>
            <wp:extent cx="596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-599440</wp:posOffset>
            </wp:positionV>
            <wp:extent cx="6032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-599440</wp:posOffset>
            </wp:positionV>
            <wp:extent cx="5969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-316865</wp:posOffset>
            </wp:positionV>
            <wp:extent cx="603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-316865</wp:posOffset>
            </wp:positionV>
            <wp:extent cx="596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-25400</wp:posOffset>
            </wp:positionV>
            <wp:extent cx="6032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6032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Credit Facilities</w:t>
      </w:r>
    </w:p>
    <w:p>
      <w:pPr>
        <w:spacing w:after="0" w:line="225" w:lineRule="exact"/>
        <w:rPr>
          <w:sz w:val="20"/>
          <w:szCs w:val="20"/>
          <w:color w:val="auto"/>
        </w:rPr>
      </w:pPr>
    </w:p>
    <w:p>
      <w:pPr>
        <w:ind w:left="760" w:right="180"/>
        <w:spacing w:after="0" w:line="254" w:lineRule="auto"/>
        <w:rPr>
          <w:sz w:val="20"/>
          <w:szCs w:val="20"/>
          <w:color w:val="auto"/>
        </w:rPr>
      </w:pPr>
      <w:r>
        <w:rPr>
          <w:rFonts w:ascii="Times New Roman" w:cs="Times New Roman" w:eastAsia="Times New Roman" w:hAnsi="Times New Roman"/>
          <w:sz w:val="18"/>
          <w:szCs w:val="18"/>
          <w:color w:val="auto"/>
        </w:rPr>
        <w:t>On August 17, 2022, the Company entered into a credit agreement with JPMorgan Chase Bank, N.A., as administrative agent and collateral agent, Barclays Bank PLC, and the lenders from time to time party thereto, which the Company has amended several times, including most recently in February 2026 (as amended, the “Credit Agreement”). As of September 30, 2026, after giving effect to all amendments and repayments prior to such date, the Credit Agreement provided for (i) a senior secured term loan facility comprised of two tranches: a $710 loan (as refinanced and otherwise modified from time to time, the “USD Tranche B”) and a €533 loan (as refinanced and otherwise modified from time to time, the “Euro Tranche B” and together with the USD Tranche B, the “Term Loan Facility”) and (ii) a senior secured revolving credit facility with aggregate commitments of $1,000 (as refinanced and otherwise modified from time to time, the “Revolving Facility” and together with the Term Loan Facility, the “Credit Facilities”).</w:t>
      </w:r>
    </w:p>
    <w:p>
      <w:pPr>
        <w:spacing w:after="0" w:line="84" w:lineRule="exact"/>
        <w:rPr>
          <w:sz w:val="20"/>
          <w:szCs w:val="20"/>
          <w:color w:val="auto"/>
        </w:rPr>
      </w:pPr>
    </w:p>
    <w:p>
      <w:pPr>
        <w:ind w:left="760" w:right="60"/>
        <w:spacing w:after="0" w:line="254" w:lineRule="auto"/>
        <w:rPr>
          <w:sz w:val="20"/>
          <w:szCs w:val="20"/>
          <w:color w:val="auto"/>
        </w:rPr>
      </w:pPr>
      <w:r>
        <w:rPr>
          <w:rFonts w:ascii="Times New Roman" w:cs="Times New Roman" w:eastAsia="Times New Roman" w:hAnsi="Times New Roman"/>
          <w:sz w:val="18"/>
          <w:szCs w:val="18"/>
          <w:color w:val="auto"/>
        </w:rPr>
        <w:t>As of September 30, 2026, borrowings under the Credit Facilities bore interest at a rate per annum equal to, at the Company’s option, any of the following, plus, in each case, an applicable margin: (a) with respect to the USD Tranche B and the Revolving Facility, (x) a base rate determined by reference to the highest of (1) the federal funds effective rate plus 0.50%, (2) the prime rate quoted in The Wall Street Journal, or (3) a forward-looking term rate based on Term SOFR for an interest period of one month, plus 1.00%; and (y) a Term SOFR rate for the interest period relevant to such borrowing and (b) with respect to the Euro Tranche B, a Euro Interbank Offered Rate (“EURIBOR”) rate determined by reference to the costs of funds for Euro deposits for the interest period relevant to such borrowing adjusted for certain additional costs, in each case of clauses (a) and (b) above subject to a rate floor of 0.0%. As of September 30, 2026, the applicable margins for borrowings under the Credit Facilities were (i) under the USD Tranche B and the Revolving Facility, 0.75% with respect to base rate borrowings and 1.75% with respect to Term SOFR borrowings, and (ii) under the Euro Tranche B, 2.00%.</w:t>
      </w:r>
    </w:p>
    <w:p>
      <w:pPr>
        <w:spacing w:after="0" w:line="80" w:lineRule="exact"/>
        <w:rPr>
          <w:sz w:val="20"/>
          <w:szCs w:val="20"/>
          <w:color w:val="auto"/>
        </w:rPr>
      </w:pPr>
    </w:p>
    <w:p>
      <w:pPr>
        <w:ind w:left="760" w:right="60"/>
        <w:spacing w:after="0" w:line="261" w:lineRule="auto"/>
        <w:rPr>
          <w:sz w:val="20"/>
          <w:szCs w:val="20"/>
          <w:color w:val="auto"/>
        </w:rPr>
      </w:pPr>
      <w:r>
        <w:rPr>
          <w:rFonts w:ascii="Times New Roman" w:cs="Times New Roman" w:eastAsia="Times New Roman" w:hAnsi="Times New Roman"/>
          <w:sz w:val="18"/>
          <w:szCs w:val="18"/>
          <w:color w:val="auto"/>
        </w:rPr>
        <w:t>In addition to paying interest on outstanding principal under the Credit Facilities, the Company is required to pay a commitment fee in respect of the unutilized commitments under the Revolving Facility. The commitment fee is subject to adjustment based on the Company’s first lien net leverage ratio as of the end of the preceding fiscal quarter. As of September 30, 2026, the commitment fee was 0.25% per annum. The Company must also pay customary letter of credit fees and agency fees.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 w:name="page17"/>
    <w:bookmarkEnd w:id="16"/>
    <w:p>
      <w:pPr>
        <w:jc w:val="center"/>
        <w:ind w:right="740"/>
        <w:spacing w:after="0"/>
        <w:rPr>
          <w:sz w:val="20"/>
          <w:szCs w:val="20"/>
          <w:color w:val="auto"/>
        </w:rPr>
      </w:pPr>
      <w:r>
        <w:rPr>
          <w:rFonts w:ascii="Times New Roman" w:cs="Times New Roman" w:eastAsia="Times New Roman" w:hAnsi="Times New Roman"/>
          <w:sz w:val="18"/>
          <w:szCs w:val="18"/>
          <w:color w:val="auto"/>
        </w:rPr>
        <w:t>MKS INC.</w:t>
      </w:r>
    </w:p>
    <w:p>
      <w:pPr>
        <w:spacing w:after="0" w:line="27"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31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7"/>
          <w:szCs w:val="17"/>
          <w:color w:val="auto"/>
        </w:rPr>
        <w:t>On February 4, 2026, the Company entered into the Sixth Amendment to Credit Agreement (the “Sixth Amendment”), pursuant to which the Company, among other things, (i) refinanced its then-existing USD Tranche B loan and Euro Tranche B loan with the $914 USD Tranche B loan and the €587 Euro Tranche B loan, (ii) refinanced and increased the commitments under its then-existing Revolving Facility with the $1,000 Revolving Facility, (iii) decreased the applicable margin for the USD Tranche B from 2.00% to 1.75% with respect to Term SOFR borrowings and from 1.00% to 0.75% with respect to base rate borrowings, (iv) decreased the applicable margin for the Euro Tranche B from 2.50% to 2.00%, (v) decreased the applicable margin under the Revolving Facility from 2.50% to 1.75% with respect to SOFR borrowings and from</w:t>
      </w:r>
    </w:p>
    <w:p>
      <w:pPr>
        <w:spacing w:after="0" w:line="5"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1.50% to 0.75% with respect to base rate borrowings, (vi) eliminated the credit spread adjustment applicable to SOFR borrowings of the Revolving Facility and (vii) extended the maturities of the Term Loan Facility to February 2033 and the Revolving Facility to February 2031. The refinanced USD Tranche B loan and Euro Tranche B loan were issued without original issue discount. In connection with the execution of the Sixth Amendment, the Company paid customary fees and expenses to JPMorgan Chase Bank, N.A.</w:t>
      </w:r>
    </w:p>
    <w:p>
      <w:pPr>
        <w:spacing w:after="0" w:line="8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On February 4, 2026, concurrently with the effectiveness of the Sixth Amendment, the Company made a voluntary prepayment of $1,274 principal amount on its then-existing USD Tranche B loan consisting of $1,174 from the net proceeds from the 2034 Notes (as defined below), together with $100 of cash on hand, reducing the outstanding principal amount of the USD Tranche B loan from $2,188 to $914.</w:t>
      </w:r>
    </w:p>
    <w:p>
      <w:pPr>
        <w:spacing w:after="0" w:line="6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each of May 6, 2026 and August 4, 2026, the Company made a voluntary prepayment of $100 principal amount on the USD Tranche B loan. On September 10, 2026, the Company made a voluntary prepayment of €50 principal amount on the Euro Tranche B loan. On November 4, 2026, the Company made a voluntary prepayment of $100 principal amount on the USD Tranche B loan.</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Under the Credit Agreement, the Company is required to prepay outstanding term loans, subject to certain exceptions, with portions of its annual excess cash flow as well as with the net cash proceeds of certain of its asset sales, certain casualty and condemnation events and the incurrence or issuances of certain debt. If at any time the aggregate amount of outstanding loans, unreimbursed letter of credit drawings and undrawn letters of credit under the Revolving Facility exceeds the aggregate commitments under the Revolving Facility, the Company is required to repay outstanding loans and/or cash collateralize letters of credit, with no reduction of the commitment amount.</w:t>
      </w:r>
    </w:p>
    <w:p>
      <w:pPr>
        <w:spacing w:after="0" w:line="7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Company may voluntarily prepay outstanding loans under the Credit Facilities from time to time, subject to certain conditions, without premium or penalty other than customary “breakage” costs with respect to Term SOFR or EURIBOR loans. Additionally, the Company may voluntarily reduce the unutilized portion of the commitment amount under the Revolving Facility.</w:t>
      </w:r>
    </w:p>
    <w:p>
      <w:pPr>
        <w:spacing w:after="0" w:line="6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of September 30, 2026, the Company was required to make scheduled quarterly principal payments equal to $2 with respect to the USD Tranche B and €2 with respect to the Euro Tranche B, in each case with the balance due thereunder on the maturity date of the Term Loan Facility. There is no scheduled amortization under the Revolving Facility. Any principal amount outstanding under the Revolving Facility is due and payable in full on the maturity date of the Revolving Facility.</w:t>
      </w:r>
    </w:p>
    <w:p>
      <w:pPr>
        <w:spacing w:after="0" w:line="7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All obligations under the Credit Facilities are guaranteed by certain of the Company’s wholly-owned domestic subsidiaries and are required to be guaranteed by certain of the Company’s future wholly-owned domestic subsidiaries, and are secured by substantially all of the Company’s assets and the assets of such subsidiaries, subject to certain exceptions and exclusions.</w:t>
      </w:r>
    </w:p>
    <w:p>
      <w:pPr>
        <w:spacing w:after="0" w:line="68"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The Credit Agreement contains customary representations and warranties, covenants and provisions relating to events of default. If an event of default occurs, the lenders under the Credit Facilities will be entitled to take various actions, including the acceleration of amounts due under the Credit Facilities and all actions permitted to be taken by a secured creditor. As of September 30, 2026, the Company was in compliance with all covenants under the Credit Agreement. The USD Tranche B and the Euro Tranche B are not subject to financial maintenance covenants.</w:t>
      </w:r>
    </w:p>
    <w:p>
      <w:pPr>
        <w:spacing w:after="0" w:line="5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As of September 30, 2026, the weighted average interest rate of the Term Loan Facility was 4.99%. As of September 30, 2026, there were no borrowings under the Revolving Facility.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Convertible Notes</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May 16, 2024, the Company completed a private offering of $1,400 aggregate principal amount of its convertible senior notes due 2030 (the “Convertible Notes”).</w:t>
      </w:r>
    </w:p>
    <w:p>
      <w:pPr>
        <w:spacing w:after="0" w:line="12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769" w:right="339" w:bottom="1440" w:gutter="0" w:footer="0" w:header="0"/>
        </w:sectPr>
      </w:pPr>
    </w:p>
    <w:bookmarkStart w:id="17" w:name="page18"/>
    <w:bookmarkEnd w:id="17"/>
    <w:p>
      <w:pPr>
        <w:jc w:val="center"/>
        <w:ind w:right="720"/>
        <w:spacing w:after="0"/>
        <w:rPr>
          <w:sz w:val="20"/>
          <w:szCs w:val="20"/>
          <w:color w:val="auto"/>
        </w:rPr>
      </w:pPr>
      <w:r>
        <w:rPr>
          <w:rFonts w:ascii="Times New Roman" w:cs="Times New Roman" w:eastAsia="Times New Roman" w:hAnsi="Times New Roman"/>
          <w:sz w:val="18"/>
          <w:szCs w:val="18"/>
          <w:color w:val="auto"/>
        </w:rPr>
        <w:t>MKS INC.</w:t>
      </w:r>
    </w:p>
    <w:p>
      <w:pPr>
        <w:spacing w:after="0" w:line="27"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31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net proceeds from the offering were approximately $1,374 after deducting the initial purchasers’ discounts and commissions and estimated offering expenses paid by the Company. The Company used approximately $167 of the net proceeds from the offering to pay the cost of the capped call transactions described below. The Company used the remaining net proceeds from the offering to repay approximately $1,206 in borrowings outstanding under the USD Tranche B, together with accrued interest, as well as for general corporate purposes.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 Indenture and the Convertible Notes</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May 16, 2024, the Company entered into an indenture (the “Convertible Notes Indenture”) with respect to the Convertible Notes with U.S. Bank Trust Company, National Association, as trustee (the “Convertible Notes Trustee”). Under the Convertible Notes Indenture, the Convertible Notes are senior unsecured obligations of the Company and bear interest at a coupon rate of 1.25% per annum, with interest payable semiannually in arrears on June 1 and December 1 of each year, beginning on December 1, 2024. The Convertible Notes will mature on June 1, 2030, unless earlier converted, redeemed or repurchased in accordance with their terms.</w:t>
      </w:r>
    </w:p>
    <w:p>
      <w:pPr>
        <w:spacing w:after="0" w:line="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Subject to certain conditions, on or after June 5, 2027, the Company may redeem for cash all or any portion of the Convertible Notes at a redemption price equal to 100% of the principal amount of the Convertible Notes to be redeemed, plus accrued and unpaid interest to, but excluding, the redemption date, if the last reported sale price of the Company’s common stock has been at least 130% of the conversion price then in effect for at least 20 trading days (whether or not consecutive) during the period of 30 consecutive trading days ending on, and including, the trading day immediately preceding the date the notice of redemption is sent.</w:t>
      </w:r>
    </w:p>
    <w:p>
      <w:pPr>
        <w:spacing w:after="0" w:line="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of September 30, 2026, the conversion rate for the Convertible Notes was 6.4820 shares of the Company’s common stock per one thousand dollars principal amount of the Convertible Notes, which is equivalent to a conversion price of approximately $154.27 per share. The conversion rate is subject to adjustment upon the occurrence of certain events.</w:t>
      </w:r>
    </w:p>
    <w:p>
      <w:pPr>
        <w:spacing w:after="0" w:line="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Upon conversion, the Company will pay cash up to the aggregate principal amount of the Convertible Notes to be converted and pay or deliver, as the case may be, cash, shares of common stock or a combination of cash and shares of common stock, at the Company’s election, in respect of the remainder, if any, of its conversion obligation in excess of the aggregate principal amount of the Convertible Notes being converted. Prior to the close of business on the business day immediately preceding March 1, 2030, noteholders may convert all or any portion of their Convertible Notes under the following circumstances:</w:t>
      </w:r>
    </w:p>
    <w:p>
      <w:pPr>
        <w:spacing w:after="0" w:line="75" w:lineRule="exact"/>
        <w:rPr>
          <w:sz w:val="20"/>
          <w:szCs w:val="20"/>
          <w:color w:val="auto"/>
        </w:rPr>
      </w:pPr>
    </w:p>
    <w:p>
      <w:pPr>
        <w:ind w:left="1020" w:hanging="515"/>
        <w:spacing w:after="0" w:line="25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(and only during such calendar quarter) commencing after the calendar quarter ended September 30, 2024, if the last reported sale price of the common stock for at least 20 trading days (whether or not consecutive) during the period of 30 consecutive trading days ending on, and including, the last trading day of the immediately preceding calendar quarter is greater than or equal to 130% of the applicable conversion price of the Convertible Notes on each applicable trading day (the “Sale Price Condition”) (approximately $200.55 per share based on the current conversion price of approximately $154.27 per share, which is subject to further adjustment upon the occurrence of certain events);</w:t>
      </w:r>
    </w:p>
    <w:p>
      <w:pPr>
        <w:spacing w:after="0" w:line="79" w:lineRule="exact"/>
        <w:rPr>
          <w:rFonts w:ascii="Times New Roman" w:cs="Times New Roman" w:eastAsia="Times New Roman" w:hAnsi="Times New Roman"/>
          <w:sz w:val="18"/>
          <w:szCs w:val="18"/>
          <w:color w:val="auto"/>
        </w:rPr>
      </w:pPr>
    </w:p>
    <w:p>
      <w:pPr>
        <w:ind w:left="1020" w:right="120" w:hanging="515"/>
        <w:spacing w:after="0" w:line="26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five consecutive trading day period (the “measurement period”) in which the trading price per $1,000 principal amount of Convertible Notes for each trading day of the measurement period was less than 98% of the product of the last reported sale price of the Company’s common stock and the applicable conversion rate on each such trading day;</w:t>
      </w:r>
    </w:p>
    <w:p>
      <w:pPr>
        <w:spacing w:after="0" w:line="71" w:lineRule="exact"/>
        <w:rPr>
          <w:rFonts w:ascii="Times New Roman" w:cs="Times New Roman" w:eastAsia="Times New Roman" w:hAnsi="Times New Roman"/>
          <w:sz w:val="18"/>
          <w:szCs w:val="18"/>
          <w:color w:val="auto"/>
        </w:rPr>
      </w:pPr>
    </w:p>
    <w:p>
      <w:pPr>
        <w:ind w:left="1020" w:right="260" w:hanging="515"/>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calls any or all of the Convertible Notes for redemption, at any time prior to the close of business on the second scheduled trading day immediately preceding the redemption date; or</w:t>
      </w:r>
    </w:p>
    <w:p>
      <w:pPr>
        <w:spacing w:after="0" w:line="53" w:lineRule="exact"/>
        <w:rPr>
          <w:rFonts w:ascii="Times New Roman" w:cs="Times New Roman" w:eastAsia="Times New Roman" w:hAnsi="Times New Roman"/>
          <w:sz w:val="18"/>
          <w:szCs w:val="18"/>
          <w:color w:val="auto"/>
        </w:rPr>
      </w:pPr>
    </w:p>
    <w:p>
      <w:pPr>
        <w:ind w:left="1020" w:hanging="515"/>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specified corporate events as specified in the Convertible Notes Indenture.</w:t>
      </w:r>
    </w:p>
    <w:p>
      <w:pPr>
        <w:spacing w:after="0" w:line="11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or after March 1, 2030, until the close of business on the second scheduled trading day immediately preceding the maturity date, noteholders may convert all or any portion of their Convertible Notes at any time.</w:t>
      </w:r>
    </w:p>
    <w:p>
      <w:pPr>
        <w:spacing w:after="0" w:line="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If the Company undergoes a fundamental change (as defined in the Convertible Notes Indenture) prior to the maturity date of the Convertible Notes, holders may require the Company to repurchase for cash all or any portion of their Convertible Notes at a fundamental change repurchase price equal to 100% of the principal amount of the Convertible Notes to be repurchased, plus any accrued and unpaid interest to, but excluding, the fundamental change repurchase date.</w:t>
      </w:r>
    </w:p>
    <w:p>
      <w:pPr>
        <w:spacing w:after="0" w:line="13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769" w:right="359" w:bottom="1440" w:gutter="0" w:footer="0" w:header="0"/>
        </w:sectPr>
      </w:pPr>
    </w:p>
    <w:bookmarkStart w:id="18" w:name="page19"/>
    <w:bookmarkEnd w:id="18"/>
    <w:p>
      <w:pPr>
        <w:jc w:val="center"/>
        <w:ind w:right="740"/>
        <w:spacing w:after="0"/>
        <w:rPr>
          <w:sz w:val="20"/>
          <w:szCs w:val="20"/>
          <w:color w:val="auto"/>
        </w:rPr>
      </w:pPr>
      <w:r>
        <w:rPr>
          <w:rFonts w:ascii="Times New Roman" w:cs="Times New Roman" w:eastAsia="Times New Roman" w:hAnsi="Times New Roman"/>
          <w:sz w:val="18"/>
          <w:szCs w:val="18"/>
          <w:color w:val="auto"/>
        </w:rPr>
        <w:t>MKS INC.</w:t>
      </w:r>
    </w:p>
    <w:p>
      <w:pPr>
        <w:spacing w:after="0" w:line="27"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31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Convertible Notes Indenture contains customary terms and covenants, including that upon certain events of default that are occurring and continuing, either the Convertible Notes Trustee or the holders of at least 25% in aggregate principal amount of the outstanding Convertible Notes may declare 100% of the principal of, and accrued and unpaid interest, if any, on, all the Convertible Notes to be due and payable. The Convertible Notes are not subject to financial maintenance covenants.</w:t>
      </w:r>
    </w:p>
    <w:p>
      <w:pPr>
        <w:spacing w:after="0" w:line="7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Sale Price Condition for the Convertible Notes was met during the calendar quarter ended September 30, 2026, and as a result, the Convertible Notes are convertible, in whole or in part, at the option of the holders thereof at any time during the calendar quarter ending December 31, 2026 and have been classified as short-term debt, net of issuance costs, on the condensed consolidated balance sheet at September 30, 2026. The Convertible Notes were issued at par and costs associated with the issuance of the Convertible Notes are amortized to interest expense over the contractual term of the Convertible Notes. As of September 30, 2026, $1,400 in aggregate principal amount of the Convertible Notes remained outstanding. As of September 30, 2026, the effective interest rate of the Convertible Notes was 1.56%.</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Capped Call Transactions</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May 13, 2024, in connection with the pricing of the Convertible Notes, and on May 14, 2024, in connection with the exercise in full by the initial purchasers of their option to purchase additional Convertible Notes, the Company entered into privately negotiated capped call transactions (“Convertible Debt Capped Calls”) with certain of the initial purchasers of the Convertible Notes or their respective affiliates and other financial institutions. The Convertible Debt Capped Calls are expected generally to reduce the potential dilution to the Company’s common stock upon conversion of any Convertible Notes and/or offset any cash payments that the Company is required to make in excess of the principal amount of any converted Convertible Notes, as the case may be, with such reduction and/or offset subject to a cap initially equal to $237.42 per share, which represents a premium of 100% over the last reported sale price of $118.71 per share of the Company’s common stock on The Nasdaq Global Select Market on May 13, 2024, and which is subject to adjustments under the terms of the Convertible Debt Capped Calls.</w:t>
      </w:r>
    </w:p>
    <w:p>
      <w:pPr>
        <w:spacing w:after="0" w:line="8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Convertible Debt Capped Calls were recorded separately from the Convertible Notes as a reduction to additional paid-in capital in the condensed consolidated balance sheet as the Convertible Debt Capped Calls are indexed to the Company’s own stock and met the criteria to be classified in stockholders’ equity.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2034 Notes</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February 4, 2026, the Company completed a private offering (the “2034 Notes Offering”) of €1,000 aggregate principal amount of senior notes due 2034 (the “2034 Notes”). The 2034 Notes were sold in a private placement to persons reasonably believed to be qualified institutional buyers in reliance on Rule 144A under the Securities Act of 1933, as amended (the “Securities Act”), and to non-U.S. persons outside the United States in reliance on Regulation S under the Securities Act. The Company used the net proceeds from the 2034 Notes Offering, together with cash on hand, to prepay $1,274 of the USD Tranche B.</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2034 Notes Indenture and the 2034 Notes</w:t>
      </w:r>
    </w:p>
    <w:p>
      <w:pPr>
        <w:spacing w:after="0" w:line="11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February 4, 2026, the Company and the Guarantors (as defined below) entered into an indenture (the “2034 Notes Indenture”) with respect to the 2034 Notes with U.S. Bank Trust Company, National Association, as trustee (the “2034 Notes Trustee”).</w:t>
      </w:r>
    </w:p>
    <w:p>
      <w:pPr>
        <w:spacing w:after="0" w:line="5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Under the 2034 Notes Indenture, the 2034 Notes bear interest at a rate of 4.250% per annum, with interest payable semiannually in arrears on February 15 and August 15 of each year, beginning on August 15, 2026. The 2034 Notes will mature on February 15, 2034, unless earlier redeemed or repurchased in accordance with their terms.</w:t>
      </w:r>
    </w:p>
    <w:p>
      <w:pPr>
        <w:spacing w:after="0" w:line="68" w:lineRule="exact"/>
        <w:rPr>
          <w:sz w:val="20"/>
          <w:szCs w:val="20"/>
          <w:color w:val="auto"/>
        </w:rPr>
      </w:pPr>
    </w:p>
    <w:p>
      <w:pPr>
        <w:jc w:val="both"/>
        <w:ind w:right="640"/>
        <w:spacing w:after="0" w:line="266" w:lineRule="auto"/>
        <w:rPr>
          <w:sz w:val="20"/>
          <w:szCs w:val="20"/>
          <w:color w:val="auto"/>
        </w:rPr>
      </w:pPr>
      <w:r>
        <w:rPr>
          <w:rFonts w:ascii="Times New Roman" w:cs="Times New Roman" w:eastAsia="Times New Roman" w:hAnsi="Times New Roman"/>
          <w:sz w:val="18"/>
          <w:szCs w:val="18"/>
          <w:color w:val="auto"/>
        </w:rPr>
        <w:t>The 2034 Notes are unconditionally guaranteed, on a senior unsecured basis, jointly and severally, by the Company’s existing and future subsidiaries that guarantee the Credit Agreement or are required to become guarantors under certain circumstances and subject to certain exceptions (the “Guarantors”).</w:t>
      </w:r>
    </w:p>
    <w:p>
      <w:pPr>
        <w:spacing w:after="0" w:line="6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2034 Notes and the guarantees are general senior unsecured obligations of the Company and the Guarantors. The 2034 Notes and guarantees will be:</w:t>
      </w:r>
    </w:p>
    <w:p>
      <w:pPr>
        <w:spacing w:after="0" w:line="52" w:lineRule="exact"/>
        <w:rPr>
          <w:sz w:val="20"/>
          <w:szCs w:val="20"/>
          <w:color w:val="auto"/>
        </w:rPr>
      </w:pPr>
    </w:p>
    <w:p>
      <w:pPr>
        <w:ind w:left="1020" w:right="280" w:hanging="515"/>
        <w:spacing w:after="0" w:line="284"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pari passu </w:t>
      </w:r>
      <w:r>
        <w:rPr>
          <w:rFonts w:ascii="Times New Roman" w:cs="Times New Roman" w:eastAsia="Times New Roman" w:hAnsi="Times New Roman"/>
          <w:sz w:val="18"/>
          <w:szCs w:val="18"/>
          <w:color w:val="auto"/>
        </w:rPr>
        <w:t>in right of payment with any of the Company’s and the Guarantors’ existing and future unsubordinated indebtedness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the Credit Agreement);</w:t>
      </w:r>
    </w:p>
    <w:p>
      <w:pPr>
        <w:spacing w:after="0" w:line="12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769" w:right="339" w:bottom="1440" w:gutter="0" w:footer="0" w:header="0"/>
        </w:sectPr>
      </w:pPr>
    </w:p>
    <w:bookmarkStart w:id="19" w:name="page20"/>
    <w:bookmarkEnd w:id="19"/>
    <w:p>
      <w:pPr>
        <w:jc w:val="center"/>
        <w:ind w:right="740"/>
        <w:spacing w:after="0"/>
        <w:rPr>
          <w:sz w:val="20"/>
          <w:szCs w:val="20"/>
          <w:color w:val="auto"/>
        </w:rPr>
      </w:pPr>
      <w:r>
        <w:rPr>
          <w:rFonts w:ascii="Times New Roman" w:cs="Times New Roman" w:eastAsia="Times New Roman" w:hAnsi="Times New Roman"/>
          <w:sz w:val="18"/>
          <w:szCs w:val="18"/>
          <w:color w:val="auto"/>
        </w:rPr>
        <w:t>MKS INC.</w:t>
      </w:r>
    </w:p>
    <w:p>
      <w:pPr>
        <w:spacing w:after="0" w:line="27"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315" w:lineRule="exact"/>
        <w:rPr>
          <w:sz w:val="20"/>
          <w:szCs w:val="20"/>
          <w:color w:val="auto"/>
        </w:rPr>
      </w:pPr>
    </w:p>
    <w:p>
      <w:pPr>
        <w:ind w:left="1020" w:right="420" w:hanging="515"/>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subordinated to the Company’s and the Guarantors’ existing and future secured indebtedness (including the Credit Agreement) to the extent of the value of the assets securing such indebtedness;</w:t>
      </w:r>
    </w:p>
    <w:p>
      <w:pPr>
        <w:spacing w:after="0" w:line="53" w:lineRule="exact"/>
        <w:rPr>
          <w:rFonts w:ascii="Times New Roman" w:cs="Times New Roman" w:eastAsia="Times New Roman" w:hAnsi="Times New Roman"/>
          <w:sz w:val="18"/>
          <w:szCs w:val="18"/>
          <w:color w:val="auto"/>
        </w:rPr>
      </w:pPr>
    </w:p>
    <w:p>
      <w:pPr>
        <w:ind w:left="1020" w:hanging="515"/>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in right of payment to any of the Company’s and the Guarantors’ future subordinated indebtedness;</w:t>
      </w:r>
    </w:p>
    <w:p>
      <w:pPr>
        <w:spacing w:after="0" w:line="117" w:lineRule="exact"/>
        <w:rPr>
          <w:rFonts w:ascii="Times New Roman" w:cs="Times New Roman" w:eastAsia="Times New Roman" w:hAnsi="Times New Roman"/>
          <w:sz w:val="18"/>
          <w:szCs w:val="18"/>
          <w:color w:val="auto"/>
        </w:rPr>
      </w:pPr>
    </w:p>
    <w:p>
      <w:pPr>
        <w:ind w:left="1020" w:right="120" w:hanging="515"/>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structurally senior to any existing and future indebtedness of the Company that is not guaranteed by the Guarantors (including the Convertible Notes); and</w:t>
      </w:r>
    </w:p>
    <w:p>
      <w:pPr>
        <w:spacing w:after="0" w:line="53" w:lineRule="exact"/>
        <w:rPr>
          <w:rFonts w:ascii="Times New Roman" w:cs="Times New Roman" w:eastAsia="Times New Roman" w:hAnsi="Times New Roman"/>
          <w:sz w:val="18"/>
          <w:szCs w:val="18"/>
          <w:color w:val="auto"/>
        </w:rPr>
      </w:pPr>
    </w:p>
    <w:p>
      <w:pPr>
        <w:ind w:left="1020" w:right="580" w:hanging="515"/>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structurally subordinated to any existing and future indebtedness and other liabilities of the Company’s and the Guarantors’ subsidiaries that are not and do not become Guarantors.</w:t>
      </w:r>
    </w:p>
    <w:p>
      <w:pPr>
        <w:spacing w:after="0" w:line="5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At any time prior to February 15, 2029, the Company may redeem the 2034 Notes in whole or in part at a redemption price equal to 100% of their principal amount, plus a make-whole premium, plus accrued and unpaid interest, if any, and additional amounts, if any, to, but excluding, the redemption date.</w:t>
      </w:r>
    </w:p>
    <w:p>
      <w:pPr>
        <w:spacing w:after="0" w:line="6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At any time and from time to time on or after February 15, 2029, the Company may redeem for cash all or any portion of the 2034 Notes at a redemption price equal to the percentage of principal amount set forth below, plus accrued and unpaid interest, if any, and additional amounts, if any, to, but excluding, the applicable redemption date, if redeemed during the twelve-month period beginning on February 15 of the year indicated below:</w:t>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w:t>
            </w:r>
          </w:p>
        </w:tc>
        <w:tc>
          <w:tcPr>
            <w:tcW w:w="6920" w:type="dxa"/>
            <w:vAlign w:val="bottom"/>
          </w:tcPr>
          <w:p>
            <w:pPr>
              <w:spacing w:after="0"/>
              <w:rPr>
                <w:sz w:val="20"/>
                <w:szCs w:val="20"/>
                <w:color w:val="auto"/>
              </w:rPr>
            </w:pPr>
          </w:p>
        </w:tc>
        <w:tc>
          <w:tcPr>
            <w:tcW w:w="1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Percentage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8740" w:type="dxa"/>
            <w:vAlign w:val="bottom"/>
            <w:gridSpan w:val="2"/>
            <w:shd w:val="clear" w:color="auto" w:fill="CFF0FC"/>
          </w:tcPr>
          <w:p>
            <w:pPr>
              <w:ind w:left="6920"/>
              <w:spacing w:after="0"/>
              <w:rPr>
                <w:sz w:val="20"/>
                <w:szCs w:val="20"/>
                <w:color w:val="auto"/>
              </w:rPr>
            </w:pPr>
            <w:r>
              <w:rPr>
                <w:rFonts w:ascii="Times New Roman" w:cs="Times New Roman" w:eastAsia="Times New Roman" w:hAnsi="Times New Roman"/>
                <w:sz w:val="18"/>
                <w:szCs w:val="18"/>
                <w:color w:val="auto"/>
              </w:rPr>
              <w:t>102.125%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8740" w:type="dxa"/>
            <w:vAlign w:val="bottom"/>
            <w:gridSpan w:val="2"/>
          </w:tcPr>
          <w:p>
            <w:pPr>
              <w:ind w:left="6920"/>
              <w:spacing w:after="0"/>
              <w:rPr>
                <w:sz w:val="20"/>
                <w:szCs w:val="20"/>
                <w:color w:val="auto"/>
              </w:rPr>
            </w:pPr>
            <w:r>
              <w:rPr>
                <w:rFonts w:ascii="Times New Roman" w:cs="Times New Roman" w:eastAsia="Times New Roman" w:hAnsi="Times New Roman"/>
                <w:sz w:val="18"/>
                <w:szCs w:val="18"/>
                <w:color w:val="auto"/>
              </w:rPr>
              <w:t>101.0625%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2031 and thereafter</w:t>
            </w:r>
          </w:p>
        </w:tc>
        <w:tc>
          <w:tcPr>
            <w:tcW w:w="8740" w:type="dxa"/>
            <w:vAlign w:val="bottom"/>
            <w:gridSpan w:val="2"/>
            <w:shd w:val="clear" w:color="auto" w:fill="CFF0FC"/>
          </w:tcPr>
          <w:p>
            <w:pPr>
              <w:ind w:left="692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any time and from time to time prior to February 15, 2029, the Company may redeem up to 40% of the original aggregate principal amount of the 2034 Notes using the net cash proceeds of certain equity offerings at a redemption price equal to 104.250%.</w:t>
      </w:r>
    </w:p>
    <w:p>
      <w:pPr>
        <w:spacing w:after="0" w:line="54"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In the event of certain developments affecting taxation, the Company may elect to redeem all, but not less than all, of the 2034 Notes at 100% of their principal amount, plus accrued and unpaid interest, if any, and additional amounts, if any, to, but excluding, the date fixed for redemption.</w:t>
      </w:r>
    </w:p>
    <w:p>
      <w:pPr>
        <w:spacing w:after="0" w:line="3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Upon the occurrence of a change of control triggering event (as defined in the 2034 Notes Indenture), each holder of the 2034 Notes may require the Company to repurchase all or a portion of their 2034 Notes at a price equal to 101% of their principal amount plus accrued and unpaid interest, if any, and additional amounts, if any, to, but excluding, the repurchase date.</w:t>
      </w:r>
    </w:p>
    <w:p>
      <w:pPr>
        <w:spacing w:after="0" w:line="68"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The 2034 Notes Indenture contains customary terms and covenants that limit the ability of the Company and its Restricted Subsidiaries (as defined in the 2034 Notes Indenture) to, among other things, (i) incur liens, (ii) provide guarantees and (iii) consolidate, merge or sell or otherwise dispose of substantially all their assets.</w:t>
      </w:r>
    </w:p>
    <w:p>
      <w:pPr>
        <w:spacing w:after="0" w:line="6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2034 Notes Indenture also provides for customary events of default. Upon certain events of default that are occurring and continuing, either the 2034 Notes Trustee or the holders of at least 30% in aggregate principal amount of the outstanding 2034 Notes may declare the principal of, and accrued and unpaid interest, if any, and additional amounts, if any, on, all the 2034 Notes to be due and payable. In the event of certain insolvency and bankruptcy related events of default specified in the 2034 Notes Indenture, the principal of, and accrued and unpaid interest, if any, and additional amounts, if any, on, all the 2034 Notes shall automatically become due and payable. The 2034 Notes are not subject to financial maintenance covenants.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the effective interest rate of the 2034 Notes was 4.46%.</w:t>
      </w:r>
    </w:p>
    <w:p>
      <w:pPr>
        <w:spacing w:after="0" w:line="18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769"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color w:val="auto"/>
        </w:rPr>
        <w:t>MKS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3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Company’s interest expense was as follows:</w:t>
      </w:r>
    </w:p>
    <w:p>
      <w:pPr>
        <w:spacing w:after="0" w:line="113" w:lineRule="exact"/>
        <w:rPr>
          <w:sz w:val="20"/>
          <w:szCs w:val="20"/>
          <w:color w:val="auto"/>
        </w:rPr>
      </w:pPr>
    </w:p>
    <w:tbl>
      <w:tblPr>
        <w:tblLayout w:type="fixed"/>
        <w:tblInd w:w="760" w:type="dxa"/>
        <w:tblCellMar>
          <w:top w:w="0" w:type="dxa"/>
          <w:left w:w="0" w:type="dxa"/>
          <w:bottom w:w="0" w:type="dxa"/>
          <w:right w:w="0" w:type="dxa"/>
        </w:tblCellMar>
      </w:tblPr>
      <w:tr>
        <w:trPr>
          <w:trHeight w:val="171"/>
        </w:trPr>
        <w:tc>
          <w:tcPr>
            <w:tcW w:w="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2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Three Months Ended September 30,</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4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color w:val="auto"/>
              </w:rPr>
              <w:t>Nine Months Ended September 30,</w:t>
            </w: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00" w:type="dxa"/>
            <w:vAlign w:val="bottom"/>
            <w:tcBorders>
              <w:top w:val="single" w:sz="8" w:color="auto"/>
            </w:tcBorders>
          </w:tcPr>
          <w:p>
            <w:pPr>
              <w:jc w:val="right"/>
              <w:ind w:right="101"/>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3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3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480"/>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1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500"/>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200" w:type="dxa"/>
            <w:vAlign w:val="bottom"/>
            <w:tcBorders>
              <w:right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Term Loan Facility:</w:t>
            </w:r>
          </w:p>
        </w:tc>
        <w:tc>
          <w:tcPr>
            <w:tcW w:w="100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2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Contractual interest expense</w:t>
            </w:r>
          </w:p>
        </w:tc>
        <w:tc>
          <w:tcPr>
            <w:tcW w:w="1000" w:type="dxa"/>
            <w:vAlign w:val="bottom"/>
          </w:tcPr>
          <w:p>
            <w:pPr>
              <w:jc w:val="right"/>
              <w:ind w:right="84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60" w:type="dxa"/>
            <w:vAlign w:val="bottom"/>
            <w:gridSpan w:val="2"/>
          </w:tcPr>
          <w:p>
            <w:pPr>
              <w:jc w:val="right"/>
              <w:ind w:right="9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80" w:type="dxa"/>
            <w:vAlign w:val="bottom"/>
          </w:tcPr>
          <w:p>
            <w:pPr>
              <w:spacing w:after="0"/>
              <w:rPr>
                <w:sz w:val="17"/>
                <w:szCs w:val="17"/>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4200" w:type="dxa"/>
            <w:vAlign w:val="bottom"/>
            <w:tcBorders>
              <w:right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Amortization of debt issuance costs as interest</w:t>
            </w:r>
          </w:p>
        </w:tc>
        <w:tc>
          <w:tcPr>
            <w:tcW w:w="1000" w:type="dxa"/>
            <w:vAlign w:val="bottom"/>
            <w:shd w:val="clear" w:color="auto" w:fill="CFF0FC"/>
          </w:tcPr>
          <w:p>
            <w:pPr>
              <w:spacing w:after="0"/>
              <w:rPr>
                <w:sz w:val="16"/>
                <w:szCs w:val="16"/>
                <w:color w:val="auto"/>
              </w:rPr>
            </w:pPr>
          </w:p>
        </w:tc>
        <w:tc>
          <w:tcPr>
            <w:tcW w:w="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80" w:type="dxa"/>
            <w:vAlign w:val="bottom"/>
            <w:tcBorders>
              <w:right w:val="single" w:sz="8" w:color="CFF0FC"/>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200" w:type="dxa"/>
            <w:vAlign w:val="bottom"/>
            <w:tcBorders>
              <w:bottom w:val="single" w:sz="8" w:color="CFF0FC"/>
              <w:right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expense</w:t>
            </w:r>
          </w:p>
        </w:tc>
        <w:tc>
          <w:tcPr>
            <w:tcW w:w="1000" w:type="dxa"/>
            <w:vAlign w:val="bottom"/>
            <w:tcBorders>
              <w:bottom w:val="single" w:sz="8" w:color="auto"/>
            </w:tcBorders>
            <w:shd w:val="clear" w:color="auto" w:fill="CFF0FC"/>
          </w:tcPr>
          <w:p>
            <w:pPr>
              <w:spacing w:after="0"/>
              <w:rPr>
                <w:sz w:val="17"/>
                <w:szCs w:val="17"/>
                <w:color w:val="auto"/>
              </w:rPr>
            </w:pPr>
          </w:p>
        </w:tc>
        <w:tc>
          <w:tcPr>
            <w:tcW w:w="360" w:type="dxa"/>
            <w:vAlign w:val="bottom"/>
            <w:tcBorders>
              <w:bottom w:val="single" w:sz="8" w:color="auto"/>
            </w:tcBorders>
            <w:vMerge w:val="continue"/>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vMerge w:val="continue"/>
            <w:shd w:val="clear" w:color="auto" w:fill="CFF0FC"/>
          </w:tcPr>
          <w:p>
            <w:pPr>
              <w:spacing w:after="0"/>
              <w:rPr>
                <w:sz w:val="17"/>
                <w:szCs w:val="17"/>
                <w:color w:val="auto"/>
              </w:rPr>
            </w:pPr>
          </w:p>
        </w:tc>
        <w:tc>
          <w:tcPr>
            <w:tcW w:w="180" w:type="dxa"/>
            <w:vAlign w:val="bottom"/>
            <w:tcBorders>
              <w:bottom w:val="single" w:sz="8" w:color="CFF0FC"/>
              <w:right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vMerge w:val="continue"/>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vMerge w:val="continue"/>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interest expense on Term Loan Facility</w:t>
            </w:r>
          </w:p>
        </w:tc>
        <w:tc>
          <w:tcPr>
            <w:tcW w:w="1000" w:type="dxa"/>
            <w:vAlign w:val="bottom"/>
          </w:tcPr>
          <w:p>
            <w:pPr>
              <w:jc w:val="right"/>
              <w:ind w:right="84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60" w:type="dxa"/>
            <w:vAlign w:val="bottom"/>
            <w:gridSpan w:val="2"/>
          </w:tcPr>
          <w:p>
            <w:pPr>
              <w:jc w:val="right"/>
              <w:ind w:right="9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80" w:type="dxa"/>
            <w:vAlign w:val="bottom"/>
          </w:tcPr>
          <w:p>
            <w:pPr>
              <w:spacing w:after="0"/>
              <w:rPr>
                <w:sz w:val="17"/>
                <w:szCs w:val="17"/>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4200" w:type="dxa"/>
            <w:vAlign w:val="bottom"/>
            <w:tcBorders>
              <w:right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Convertible Notes:</w:t>
            </w:r>
          </w:p>
        </w:tc>
        <w:tc>
          <w:tcPr>
            <w:tcW w:w="10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80" w:type="dxa"/>
            <w:vAlign w:val="bottom"/>
            <w:tcBorders>
              <w:right w:val="single" w:sz="8" w:color="CFF0FC"/>
            </w:tcBorders>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2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Contractual interest expense</w:t>
            </w:r>
          </w:p>
        </w:tc>
        <w:tc>
          <w:tcPr>
            <w:tcW w:w="1000" w:type="dxa"/>
            <w:vAlign w:val="bottom"/>
          </w:tcPr>
          <w:p>
            <w:pPr>
              <w:jc w:val="right"/>
              <w:ind w:right="84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60" w:type="dxa"/>
            <w:vAlign w:val="bottom"/>
            <w:gridSpan w:val="2"/>
          </w:tcPr>
          <w:p>
            <w:pPr>
              <w:jc w:val="right"/>
              <w:ind w:right="9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80" w:type="dxa"/>
            <w:vAlign w:val="bottom"/>
          </w:tcPr>
          <w:p>
            <w:pPr>
              <w:spacing w:after="0"/>
              <w:rPr>
                <w:sz w:val="17"/>
                <w:szCs w:val="17"/>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4200" w:type="dxa"/>
            <w:vAlign w:val="bottom"/>
            <w:tcBorders>
              <w:right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Amortization of debt issuance costs as</w:t>
            </w:r>
          </w:p>
        </w:tc>
        <w:tc>
          <w:tcPr>
            <w:tcW w:w="1000" w:type="dxa"/>
            <w:vAlign w:val="bottom"/>
            <w:shd w:val="clear" w:color="auto" w:fill="CFF0FC"/>
          </w:tcPr>
          <w:p>
            <w:pPr>
              <w:spacing w:after="0"/>
              <w:rPr>
                <w:sz w:val="16"/>
                <w:szCs w:val="16"/>
                <w:color w:val="auto"/>
              </w:rPr>
            </w:pPr>
          </w:p>
        </w:tc>
        <w:tc>
          <w:tcPr>
            <w:tcW w:w="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Borders>
              <w:right w:val="single" w:sz="8" w:color="CFF0FC"/>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200" w:type="dxa"/>
            <w:vAlign w:val="bottom"/>
            <w:tcBorders>
              <w:bottom w:val="single" w:sz="8" w:color="CFF0FC"/>
              <w:right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interest expense</w:t>
            </w:r>
          </w:p>
        </w:tc>
        <w:tc>
          <w:tcPr>
            <w:tcW w:w="1000" w:type="dxa"/>
            <w:vAlign w:val="bottom"/>
            <w:tcBorders>
              <w:bottom w:val="single" w:sz="8" w:color="auto"/>
            </w:tcBorders>
            <w:shd w:val="clear" w:color="auto" w:fill="CFF0FC"/>
          </w:tcPr>
          <w:p>
            <w:pPr>
              <w:spacing w:after="0"/>
              <w:rPr>
                <w:sz w:val="17"/>
                <w:szCs w:val="17"/>
                <w:color w:val="auto"/>
              </w:rPr>
            </w:pPr>
          </w:p>
        </w:tc>
        <w:tc>
          <w:tcPr>
            <w:tcW w:w="360" w:type="dxa"/>
            <w:vAlign w:val="bottom"/>
            <w:tcBorders>
              <w:bottom w:val="single" w:sz="8" w:color="auto"/>
            </w:tcBorders>
            <w:vMerge w:val="continue"/>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vMerge w:val="continue"/>
            <w:shd w:val="clear" w:color="auto" w:fill="CFF0FC"/>
          </w:tcPr>
          <w:p>
            <w:pPr>
              <w:spacing w:after="0"/>
              <w:rPr>
                <w:sz w:val="17"/>
                <w:szCs w:val="17"/>
                <w:color w:val="auto"/>
              </w:rPr>
            </w:pPr>
          </w:p>
        </w:tc>
        <w:tc>
          <w:tcPr>
            <w:tcW w:w="180" w:type="dxa"/>
            <w:vAlign w:val="bottom"/>
            <w:tcBorders>
              <w:bottom w:val="single" w:sz="8" w:color="CFF0FC"/>
              <w:right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vMerge w:val="continue"/>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vMerge w:val="continue"/>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interest expense on Convertible Notes</w:t>
            </w:r>
          </w:p>
        </w:tc>
        <w:tc>
          <w:tcPr>
            <w:tcW w:w="1000" w:type="dxa"/>
            <w:vAlign w:val="bottom"/>
          </w:tcPr>
          <w:p>
            <w:pPr>
              <w:jc w:val="right"/>
              <w:ind w:right="84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60" w:type="dxa"/>
            <w:vAlign w:val="bottom"/>
            <w:gridSpan w:val="2"/>
          </w:tcPr>
          <w:p>
            <w:pPr>
              <w:jc w:val="right"/>
              <w:ind w:right="9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80" w:type="dxa"/>
            <w:vAlign w:val="bottom"/>
          </w:tcPr>
          <w:p>
            <w:pPr>
              <w:spacing w:after="0"/>
              <w:rPr>
                <w:sz w:val="17"/>
                <w:szCs w:val="17"/>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4200" w:type="dxa"/>
            <w:vAlign w:val="bottom"/>
            <w:tcBorders>
              <w:right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2034 Notes:</w:t>
            </w:r>
          </w:p>
        </w:tc>
        <w:tc>
          <w:tcPr>
            <w:tcW w:w="10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80" w:type="dxa"/>
            <w:vAlign w:val="bottom"/>
            <w:tcBorders>
              <w:right w:val="single" w:sz="8" w:color="CFF0FC"/>
            </w:tcBorders>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2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Contractual interest expense</w:t>
            </w:r>
          </w:p>
        </w:tc>
        <w:tc>
          <w:tcPr>
            <w:tcW w:w="1000" w:type="dxa"/>
            <w:vAlign w:val="bottom"/>
          </w:tcPr>
          <w:p>
            <w:pPr>
              <w:jc w:val="right"/>
              <w:ind w:right="84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60" w:type="dxa"/>
            <w:vAlign w:val="bottom"/>
            <w:gridSpan w:val="2"/>
          </w:tcPr>
          <w:p>
            <w:pPr>
              <w:jc w:val="right"/>
              <w:ind w:right="9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4200" w:type="dxa"/>
            <w:vAlign w:val="bottom"/>
            <w:tcBorders>
              <w:right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Amortization of debt issuance costs as interest</w:t>
            </w:r>
          </w:p>
        </w:tc>
        <w:tc>
          <w:tcPr>
            <w:tcW w:w="1000" w:type="dxa"/>
            <w:vAlign w:val="bottom"/>
            <w:shd w:val="clear" w:color="auto" w:fill="CFF0FC"/>
          </w:tcPr>
          <w:p>
            <w:pPr>
              <w:spacing w:after="0"/>
              <w:rPr>
                <w:sz w:val="16"/>
                <w:szCs w:val="16"/>
                <w:color w:val="auto"/>
              </w:rPr>
            </w:pPr>
          </w:p>
        </w:tc>
        <w:tc>
          <w:tcPr>
            <w:tcW w:w="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right w:val="single" w:sz="8" w:color="CFF0FC"/>
            </w:tcBorders>
            <w:vMerge w:val="restart"/>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200" w:type="dxa"/>
            <w:vAlign w:val="bottom"/>
            <w:tcBorders>
              <w:bottom w:val="single" w:sz="8" w:color="CFF0FC"/>
              <w:right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expense</w:t>
            </w:r>
          </w:p>
        </w:tc>
        <w:tc>
          <w:tcPr>
            <w:tcW w:w="1000" w:type="dxa"/>
            <w:vAlign w:val="bottom"/>
            <w:tcBorders>
              <w:bottom w:val="single" w:sz="8" w:color="auto"/>
            </w:tcBorders>
            <w:shd w:val="clear" w:color="auto" w:fill="CFF0FC"/>
          </w:tcPr>
          <w:p>
            <w:pPr>
              <w:spacing w:after="0"/>
              <w:rPr>
                <w:sz w:val="17"/>
                <w:szCs w:val="17"/>
                <w:color w:val="auto"/>
              </w:rPr>
            </w:pPr>
          </w:p>
        </w:tc>
        <w:tc>
          <w:tcPr>
            <w:tcW w:w="360" w:type="dxa"/>
            <w:vAlign w:val="bottom"/>
            <w:tcBorders>
              <w:bottom w:val="single" w:sz="8" w:color="auto"/>
            </w:tcBorders>
            <w:vMerge w:val="continue"/>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vMerge w:val="continue"/>
            <w:shd w:val="clear" w:color="auto" w:fill="CFF0FC"/>
          </w:tcPr>
          <w:p>
            <w:pPr>
              <w:spacing w:after="0"/>
              <w:rPr>
                <w:sz w:val="17"/>
                <w:szCs w:val="17"/>
                <w:color w:val="auto"/>
              </w:rPr>
            </w:pPr>
          </w:p>
        </w:tc>
        <w:tc>
          <w:tcPr>
            <w:tcW w:w="180" w:type="dxa"/>
            <w:vAlign w:val="bottom"/>
            <w:tcBorders>
              <w:bottom w:val="single" w:sz="8" w:color="CFF0FC"/>
              <w:right w:val="single" w:sz="8" w:color="CFF0FC"/>
            </w:tcBorders>
            <w:vMerge w:val="continue"/>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vMerge w:val="continue"/>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vMerge w:val="continue"/>
            <w:shd w:val="clear" w:color="auto" w:fill="CFF0FC"/>
          </w:tcPr>
          <w:p>
            <w:pPr>
              <w:spacing w:after="0"/>
              <w:rPr>
                <w:sz w:val="17"/>
                <w:szCs w:val="17"/>
                <w:color w:val="auto"/>
              </w:rPr>
            </w:pPr>
          </w:p>
        </w:tc>
        <w:tc>
          <w:tcPr>
            <w:tcW w:w="100" w:type="dxa"/>
            <w:vAlign w:val="bottom"/>
            <w:tcBorders>
              <w:bottom w:val="single" w:sz="8" w:color="CFF0FC"/>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interest expense on 2034 Notes</w:t>
            </w:r>
          </w:p>
        </w:tc>
        <w:tc>
          <w:tcPr>
            <w:tcW w:w="1000" w:type="dxa"/>
            <w:vAlign w:val="bottom"/>
          </w:tcPr>
          <w:p>
            <w:pPr>
              <w:jc w:val="right"/>
              <w:ind w:right="84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60" w:type="dxa"/>
            <w:vAlign w:val="bottom"/>
            <w:gridSpan w:val="2"/>
          </w:tcPr>
          <w:p>
            <w:pPr>
              <w:jc w:val="right"/>
              <w:ind w:right="9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4200" w:type="dxa"/>
            <w:vAlign w:val="bottom"/>
            <w:tcBorders>
              <w:right w:val="single" w:sz="8" w:color="CFF0FC"/>
            </w:tcBorders>
            <w:gridSpan w:val="2"/>
            <w:shd w:val="clear" w:color="auto" w:fill="CFF0FC"/>
          </w:tcPr>
          <w:p>
            <w:pPr>
              <w:spacing w:after="0" w:line="183" w:lineRule="exact"/>
              <w:rPr>
                <w:sz w:val="20"/>
                <w:szCs w:val="20"/>
                <w:color w:val="auto"/>
              </w:rPr>
            </w:pPr>
            <w:r>
              <w:rPr>
                <w:rFonts w:ascii="Times New Roman" w:cs="Times New Roman" w:eastAsia="Times New Roman" w:hAnsi="Times New Roman"/>
                <w:sz w:val="16"/>
                <w:szCs w:val="16"/>
                <w:color w:val="auto"/>
              </w:rPr>
              <w:t xml:space="preserve">Other interest expense (income), net </w:t>
            </w:r>
            <w:r>
              <w:rPr>
                <w:rFonts w:ascii="Times New Roman" w:cs="Times New Roman" w:eastAsia="Times New Roman" w:hAnsi="Times New Roman"/>
                <w:sz w:val="21"/>
                <w:szCs w:val="21"/>
                <w:color w:val="auto"/>
                <w:vertAlign w:val="superscript"/>
              </w:rPr>
              <w:t>(1)</w:t>
            </w:r>
          </w:p>
        </w:tc>
        <w:tc>
          <w:tcPr>
            <w:tcW w:w="1000" w:type="dxa"/>
            <w:vAlign w:val="bottom"/>
            <w:shd w:val="clear" w:color="auto" w:fill="CFF0FC"/>
          </w:tcPr>
          <w:p>
            <w:pPr>
              <w:jc w:val="right"/>
              <w:ind w:right="84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60" w:type="dxa"/>
            <w:vAlign w:val="bottom"/>
            <w:gridSpan w:val="2"/>
            <w:shd w:val="clear" w:color="auto" w:fill="CFF0FC"/>
          </w:tcPr>
          <w:p>
            <w:pPr>
              <w:jc w:val="right"/>
              <w:ind w:right="9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w:t>
            </w: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1440" w:type="dxa"/>
            <w:vAlign w:val="bottom"/>
            <w:tcBorders>
              <w:top w:val="single" w:sz="8" w:color="CFF0FC"/>
            </w:tcBorders>
            <w:shd w:val="clear" w:color="auto" w:fill="CFF0FC"/>
          </w:tcPr>
          <w:p>
            <w:pPr>
              <w:spacing w:after="0" w:line="20" w:lineRule="exact"/>
              <w:rPr>
                <w:sz w:val="1"/>
                <w:szCs w:val="1"/>
                <w:color w:val="auto"/>
              </w:rPr>
            </w:pPr>
          </w:p>
        </w:tc>
        <w:tc>
          <w:tcPr>
            <w:tcW w:w="27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vMerge w:val="continue"/>
          </w:tcPr>
          <w:p>
            <w:pPr>
              <w:spacing w:after="0"/>
              <w:rPr>
                <w:sz w:val="15"/>
                <w:szCs w:val="15"/>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interest expense</w:t>
            </w:r>
          </w:p>
        </w:tc>
        <w:tc>
          <w:tcPr>
            <w:tcW w:w="1000" w:type="dxa"/>
            <w:vAlign w:val="bottom"/>
          </w:tcPr>
          <w:p>
            <w:pPr>
              <w:jc w:val="right"/>
              <w:ind w:right="84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60" w:type="dxa"/>
            <w:vAlign w:val="bottom"/>
            <w:gridSpan w:val="2"/>
          </w:tcPr>
          <w:p>
            <w:pPr>
              <w:jc w:val="right"/>
              <w:ind w:right="9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80" w:type="dxa"/>
            <w:vAlign w:val="bottom"/>
          </w:tcPr>
          <w:p>
            <w:pPr>
              <w:spacing w:after="0"/>
              <w:rPr>
                <w:sz w:val="15"/>
                <w:szCs w:val="15"/>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2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-1902460</wp:posOffset>
            </wp:positionV>
            <wp:extent cx="603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-1902460</wp:posOffset>
            </wp:positionV>
            <wp:extent cx="603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-1902460</wp:posOffset>
            </wp:positionV>
            <wp:extent cx="603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-1902460</wp:posOffset>
            </wp:positionV>
            <wp:extent cx="596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-1233805</wp:posOffset>
            </wp:positionV>
            <wp:extent cx="6032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-1233805</wp:posOffset>
            </wp:positionV>
            <wp:extent cx="6032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-1233805</wp:posOffset>
            </wp:positionV>
            <wp:extent cx="6032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-1233805</wp:posOffset>
            </wp:positionV>
            <wp:extent cx="5969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-565150</wp:posOffset>
            </wp:positionV>
            <wp:extent cx="603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-565150</wp:posOffset>
            </wp:positionV>
            <wp:extent cx="603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-565150</wp:posOffset>
            </wp:positionV>
            <wp:extent cx="603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-565150</wp:posOffset>
            </wp:positionV>
            <wp:extent cx="5969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-273685</wp:posOffset>
            </wp:positionV>
            <wp:extent cx="603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-256540</wp:posOffset>
            </wp:positionV>
            <wp:extent cx="603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-273685</wp:posOffset>
            </wp:positionV>
            <wp:extent cx="603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-256540</wp:posOffset>
            </wp:positionV>
            <wp:extent cx="603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-273685</wp:posOffset>
            </wp:positionV>
            <wp:extent cx="603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-256540</wp:posOffset>
            </wp:positionV>
            <wp:extent cx="603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-273685</wp:posOffset>
            </wp:positionV>
            <wp:extent cx="596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-256540</wp:posOffset>
            </wp:positionV>
            <wp:extent cx="5969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9" w:lineRule="exact"/>
        <w:rPr>
          <w:sz w:val="20"/>
          <w:szCs w:val="20"/>
          <w:color w:val="auto"/>
        </w:rPr>
      </w:pPr>
    </w:p>
    <w:p>
      <w:pPr>
        <w:ind w:left="1140" w:right="60" w:hanging="390"/>
        <w:spacing w:after="0" w:line="223" w:lineRule="auto"/>
        <w:tabs>
          <w:tab w:leader="none" w:pos="1140" w:val="left"/>
        </w:tabs>
        <w:numPr>
          <w:ilvl w:val="0"/>
          <w:numId w:val="1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Other interest expense (income), net primarily consists of interest expense (income) related to the Company’s interest rate swap agreements and finance lease interest expense.</w:t>
      </w:r>
    </w:p>
    <w:p>
      <w:pPr>
        <w:spacing w:after="0" w:line="19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Lines of Credit and Borrowing Arrangements</w:t>
      </w:r>
    </w:p>
    <w:p>
      <w:pPr>
        <w:spacing w:after="0" w:line="225" w:lineRule="exact"/>
        <w:rPr>
          <w:sz w:val="20"/>
          <w:szCs w:val="20"/>
          <w:color w:val="auto"/>
        </w:rPr>
      </w:pPr>
    </w:p>
    <w:p>
      <w:pPr>
        <w:ind w:left="760" w:right="60"/>
        <w:spacing w:after="0" w:line="261" w:lineRule="auto"/>
        <w:rPr>
          <w:sz w:val="20"/>
          <w:szCs w:val="20"/>
          <w:color w:val="auto"/>
        </w:rPr>
      </w:pPr>
      <w:r>
        <w:rPr>
          <w:rFonts w:ascii="Times New Roman" w:cs="Times New Roman" w:eastAsia="Times New Roman" w:hAnsi="Times New Roman"/>
          <w:sz w:val="18"/>
          <w:szCs w:val="18"/>
          <w:color w:val="auto"/>
        </w:rPr>
        <w:t>Certain of the Company’s Japanese subsidiaries have lines of credit and a financing facility with various financial institutions, many of which generally expire and are renewed at three-month intervals with the remaining having no expiration date. The lines of credit and financing facility provided for aggregate borrowings of up to an equivalent of $13 as of each of September 30, 2026 and December 31, 2025. There were no borrowings outstanding under these arrangements at September 30, 2026 and December 31, 2025.</w:t>
      </w:r>
    </w:p>
    <w:p>
      <w:pPr>
        <w:spacing w:after="0" w:line="1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Contractual maturities of the Company’s debt obligations as of September 30, 2026 are as follows:</w:t>
      </w:r>
    </w:p>
    <w:p>
      <w:pPr>
        <w:spacing w:after="0" w:line="113" w:lineRule="exact"/>
        <w:rPr>
          <w:sz w:val="20"/>
          <w:szCs w:val="20"/>
          <w:color w:val="auto"/>
        </w:rPr>
      </w:pPr>
    </w:p>
    <w:tbl>
      <w:tblPr>
        <w:tblLayout w:type="fixed"/>
        <w:tblInd w:w="800" w:type="dxa"/>
        <w:tblCellMar>
          <w:top w:w="0" w:type="dxa"/>
          <w:left w:w="0" w:type="dxa"/>
          <w:bottom w:w="0" w:type="dxa"/>
          <w:right w:w="0" w:type="dxa"/>
        </w:tblCellMar>
      </w:tblPr>
      <w:tr>
        <w:trPr>
          <w:trHeight w:val="171"/>
        </w:trPr>
        <w:tc>
          <w:tcPr>
            <w:tcW w:w="4920" w:type="dxa"/>
            <w:vAlign w:val="bottom"/>
          </w:tcPr>
          <w:p>
            <w:pPr>
              <w:spacing w:after="0"/>
              <w:rPr>
                <w:sz w:val="20"/>
                <w:szCs w:val="20"/>
                <w:color w:val="auto"/>
              </w:rPr>
            </w:pPr>
            <w:r>
              <w:rPr>
                <w:rFonts w:ascii="Times New Roman" w:cs="Times New Roman" w:eastAsia="Times New Roman" w:hAnsi="Times New Roman"/>
                <w:sz w:val="14"/>
                <w:szCs w:val="14"/>
                <w:color w:val="auto"/>
              </w:rPr>
              <w:t>Year</w:t>
            </w:r>
          </w:p>
        </w:tc>
        <w:tc>
          <w:tcPr>
            <w:tcW w:w="36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color w:val="auto"/>
              </w:rPr>
              <w:t>Amount</w:t>
            </w:r>
          </w:p>
        </w:tc>
        <w:tc>
          <w:tcPr>
            <w:tcW w:w="100" w:type="dxa"/>
            <w:vAlign w:val="bottom"/>
          </w:tcPr>
          <w:p>
            <w:pPr>
              <w:spacing w:after="0"/>
              <w:rPr>
                <w:sz w:val="14"/>
                <w:szCs w:val="14"/>
                <w:color w:val="auto"/>
              </w:rPr>
            </w:pPr>
          </w:p>
        </w:tc>
      </w:tr>
      <w:tr>
        <w:trPr>
          <w:trHeight w:val="210"/>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 (remaining)</w:t>
            </w:r>
          </w:p>
        </w:tc>
        <w:tc>
          <w:tcPr>
            <w:tcW w:w="40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36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3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36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00" w:type="dxa"/>
            <w:vAlign w:val="bottom"/>
            <w:shd w:val="clear" w:color="auto" w:fill="CFF0FC"/>
          </w:tcPr>
          <w:p>
            <w:pPr>
              <w:spacing w:after="0"/>
              <w:rPr>
                <w:sz w:val="18"/>
                <w:szCs w:val="18"/>
                <w:color w:val="auto"/>
              </w:rPr>
            </w:pPr>
          </w:p>
        </w:tc>
      </w:tr>
      <w:tr>
        <w:trPr>
          <w:trHeight w:val="23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100" w:type="dxa"/>
            <w:vAlign w:val="bottom"/>
          </w:tcPr>
          <w:p>
            <w:pPr>
              <w:spacing w:after="0"/>
              <w:rPr>
                <w:sz w:val="20"/>
                <w:szCs w:val="20"/>
                <w:color w:val="auto"/>
              </w:rPr>
            </w:pPr>
          </w:p>
        </w:tc>
      </w:tr>
    </w:tbl>
    <w:p>
      <w:pPr>
        <w:spacing w:after="0" w:line="391" w:lineRule="exact"/>
        <w:rPr>
          <w:sz w:val="20"/>
          <w:szCs w:val="20"/>
          <w:color w:val="auto"/>
        </w:rPr>
      </w:pPr>
    </w:p>
    <w:p>
      <w:pPr>
        <w:ind w:left="760" w:hanging="752"/>
        <w:spacing w:after="0"/>
        <w:tabs>
          <w:tab w:leader="none" w:pos="7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Product Warranties</w:t>
      </w:r>
    </w:p>
    <w:p>
      <w:pPr>
        <w:spacing w:after="0" w:line="229" w:lineRule="exact"/>
        <w:rPr>
          <w:sz w:val="20"/>
          <w:szCs w:val="20"/>
          <w:color w:val="auto"/>
        </w:rPr>
      </w:pPr>
    </w:p>
    <w:p>
      <w:pPr>
        <w:ind w:left="760" w:right="40"/>
        <w:spacing w:after="0" w:line="258" w:lineRule="auto"/>
        <w:rPr>
          <w:sz w:val="20"/>
          <w:szCs w:val="20"/>
          <w:color w:val="auto"/>
        </w:rPr>
      </w:pPr>
      <w:r>
        <w:rPr>
          <w:rFonts w:ascii="Times New Roman" w:cs="Times New Roman" w:eastAsia="Times New Roman" w:hAnsi="Times New Roman"/>
          <w:sz w:val="18"/>
          <w:szCs w:val="18"/>
          <w:color w:val="auto"/>
        </w:rPr>
        <w:t>The Company provides for the estimated costs to fulfill customer warranty obligations upon the recognition of the related revenue. The Company’s warranty obligations are affected by shipment volume, product failure rates, utilization levels, material usage and supplier warranties on parts delivered to the Company. Should actual product failure rates, utilization levels, material usage, or supplier warranties on parts differ from the Company’s estimates, revisions to the estimated warranty liability would be required. The Company engages in extensive product quality programs and processes, including actively monitoring and evaluating the quality of its component suppliers.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color w:val="auto"/>
        </w:rPr>
        <w:t>MKS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3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Product warranty activities were as follows:</w:t>
      </w:r>
    </w:p>
    <w:p>
      <w:pPr>
        <w:spacing w:after="0" w:line="113" w:lineRule="exact"/>
        <w:rPr>
          <w:sz w:val="20"/>
          <w:szCs w:val="20"/>
          <w:color w:val="auto"/>
        </w:rPr>
      </w:pPr>
    </w:p>
    <w:tbl>
      <w:tblPr>
        <w:tblLayout w:type="fixed"/>
        <w:tblInd w:w="8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3240" w:type="dxa"/>
            <w:vAlign w:val="bottom"/>
            <w:tcBorders>
              <w:bottom w:val="single" w:sz="8" w:color="auto"/>
            </w:tcBorders>
            <w:gridSpan w:val="4"/>
          </w:tcPr>
          <w:p>
            <w:pPr>
              <w:jc w:val="right"/>
              <w:ind w:right="296"/>
              <w:spacing w:after="0"/>
              <w:rPr>
                <w:sz w:val="20"/>
                <w:szCs w:val="20"/>
                <w:color w:val="auto"/>
              </w:rPr>
            </w:pPr>
            <w:r>
              <w:rPr>
                <w:rFonts w:ascii="Times New Roman" w:cs="Times New Roman" w:eastAsia="Times New Roman" w:hAnsi="Times New Roman"/>
                <w:sz w:val="14"/>
                <w:szCs w:val="14"/>
                <w:color w:val="auto"/>
              </w:rPr>
              <w:t>Nine Months Ended September 30,</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260" w:type="dxa"/>
            <w:vAlign w:val="bottom"/>
            <w:tcBorders>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5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Borders>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1260" w:type="dxa"/>
            <w:vAlign w:val="bottom"/>
            <w:shd w:val="clear" w:color="auto" w:fill="CFF0FC"/>
          </w:tcPr>
          <w:p>
            <w:pPr>
              <w:jc w:val="right"/>
              <w:ind w:right="113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Borders>
              <w:right w:val="single" w:sz="8" w:color="CFF0FC"/>
            </w:tcBorders>
            <w:shd w:val="clear" w:color="auto" w:fill="CFF0FC"/>
          </w:tcPr>
          <w:p>
            <w:pPr>
              <w:spacing w:after="0"/>
              <w:rPr>
                <w:sz w:val="18"/>
                <w:szCs w:val="18"/>
                <w:color w:val="auto"/>
              </w:rPr>
            </w:pPr>
          </w:p>
        </w:tc>
        <w:tc>
          <w:tcPr>
            <w:tcW w:w="1300" w:type="dxa"/>
            <w:vAlign w:val="bottom"/>
            <w:shd w:val="clear" w:color="auto" w:fill="CFF0FC"/>
          </w:tcPr>
          <w:p>
            <w:pPr>
              <w:jc w:val="right"/>
              <w:ind w:right="11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Provision for product warranties</w:t>
            </w:r>
          </w:p>
        </w:tc>
        <w:tc>
          <w:tcPr>
            <w:tcW w:w="1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Charges to warranty liability</w:t>
            </w:r>
          </w:p>
        </w:tc>
        <w:tc>
          <w:tcPr>
            <w:tcW w:w="126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130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00" w:type="dxa"/>
            <w:vAlign w:val="bottom"/>
            <w:tcBorders>
              <w:right w:val="single" w:sz="8" w:color="CFF0FC"/>
            </w:tcBorders>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1260" w:type="dxa"/>
            <w:vAlign w:val="bottom"/>
          </w:tcPr>
          <w:p>
            <w:pPr>
              <w:jc w:val="right"/>
              <w:ind w:right="113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Pr>
          <w:p>
            <w:pPr>
              <w:spacing w:after="0"/>
              <w:rPr>
                <w:sz w:val="18"/>
                <w:szCs w:val="18"/>
                <w:color w:val="auto"/>
              </w:rPr>
            </w:pPr>
          </w:p>
        </w:tc>
        <w:tc>
          <w:tcPr>
            <w:tcW w:w="1300" w:type="dxa"/>
            <w:vAlign w:val="bottom"/>
          </w:tcPr>
          <w:p>
            <w:pPr>
              <w:jc w:val="right"/>
              <w:ind w:right="11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-170815</wp:posOffset>
            </wp:positionV>
            <wp:extent cx="603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-170815</wp:posOffset>
            </wp:positionV>
            <wp:extent cx="596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ind w:left="760" w:right="180"/>
        <w:spacing w:after="0" w:line="261" w:lineRule="auto"/>
        <w:rPr>
          <w:sz w:val="20"/>
          <w:szCs w:val="20"/>
          <w:color w:val="auto"/>
        </w:rPr>
      </w:pPr>
      <w:r>
        <w:rPr>
          <w:rFonts w:ascii="Times New Roman" w:cs="Times New Roman" w:eastAsia="Times New Roman" w:hAnsi="Times New Roman"/>
          <w:sz w:val="18"/>
          <w:szCs w:val="18"/>
          <w:color w:val="auto"/>
        </w:rPr>
        <w:t>Short-term product warranties of $23 and long-term product warranties of $4, each as of September 30, 2026, are included within other current liabilities and other non-current liabilities, respectively, within the accompanying condensed consolidated balance sheet. Short-term product warranties of $18 and long-term product warranties of $7, each as of September 30, 2025, are included within other current liabilities and other non-current liabilities, respectively, within the respective condensed consolidated balance sheet.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3"/>
              </w:rPr>
              <w:t>(10)</w:t>
            </w:r>
          </w:p>
        </w:tc>
        <w:tc>
          <w:tcPr>
            <w:tcW w:w="66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40" w:type="dxa"/>
            <w:vAlign w:val="bottom"/>
          </w:tcPr>
          <w:p>
            <w:pPr>
              <w:spacing w:after="0"/>
              <w:rPr>
                <w:sz w:val="24"/>
                <w:szCs w:val="24"/>
                <w:color w:val="auto"/>
              </w:rPr>
            </w:pPr>
          </w:p>
        </w:tc>
        <w:tc>
          <w:tcPr>
            <w:tcW w:w="6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current liabilities consisted of the following:</w:t>
            </w: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6"/>
        </w:trPr>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380" w:type="dxa"/>
            <w:vAlign w:val="bottom"/>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September 30, 2026</w:t>
            </w:r>
          </w:p>
        </w:tc>
        <w:tc>
          <w:tcPr>
            <w:tcW w:w="3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December 31, 2025</w:t>
            </w:r>
          </w:p>
        </w:tc>
        <w:tc>
          <w:tcPr>
            <w:tcW w:w="100" w:type="dxa"/>
            <w:vAlign w:val="bottom"/>
          </w:tcPr>
          <w:p>
            <w:pPr>
              <w:spacing w:after="0"/>
              <w:rPr>
                <w:sz w:val="22"/>
                <w:szCs w:val="22"/>
                <w:color w:val="auto"/>
              </w:rPr>
            </w:pPr>
          </w:p>
        </w:tc>
      </w:tr>
      <w:tr>
        <w:trPr>
          <w:trHeight w:val="210"/>
        </w:trPr>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 and other employee-related obligations</w:t>
            </w:r>
          </w:p>
        </w:tc>
        <w:tc>
          <w:tcPr>
            <w:tcW w:w="1560" w:type="dxa"/>
            <w:vAlign w:val="bottom"/>
            <w:shd w:val="clear" w:color="auto" w:fill="CFF0FC"/>
          </w:tcPr>
          <w:p>
            <w:pPr>
              <w:jc w:val="right"/>
              <w:ind w:right="1400"/>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199</w:t>
            </w:r>
          </w:p>
        </w:tc>
      </w:tr>
      <w:tr>
        <w:trPr>
          <w:trHeight w:val="216"/>
        </w:trPr>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and customer advances</w:t>
            </w:r>
          </w:p>
        </w:tc>
        <w:tc>
          <w:tcPr>
            <w:tcW w:w="15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56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15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56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r>
      <w:tr>
        <w:trPr>
          <w:trHeight w:val="20"/>
        </w:trPr>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380" w:type="dxa"/>
            <w:vAlign w:val="bottom"/>
            <w:shd w:val="clear" w:color="auto" w:fill="CFF0FC"/>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other current liabilities</w:t>
            </w:r>
          </w:p>
        </w:tc>
        <w:tc>
          <w:tcPr>
            <w:tcW w:w="1560" w:type="dxa"/>
            <w:vAlign w:val="bottom"/>
          </w:tcPr>
          <w:p>
            <w:pPr>
              <w:jc w:val="right"/>
              <w:ind w:right="1400"/>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469</w:t>
            </w:r>
          </w:p>
        </w:tc>
      </w:tr>
      <w:tr>
        <w:trPr>
          <w:trHeight w:val="20"/>
        </w:trPr>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-170815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-170815</wp:posOffset>
            </wp:positionV>
            <wp:extent cx="5969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90" w:lineRule="exact"/>
        <w:rPr>
          <w:sz w:val="20"/>
          <w:szCs w:val="20"/>
          <w:color w:val="auto"/>
        </w:rPr>
      </w:pPr>
    </w:p>
    <w:p>
      <w:pPr>
        <w:ind w:left="760" w:hanging="752"/>
        <w:spacing w:after="0"/>
        <w:tabs>
          <w:tab w:leader="none" w:pos="7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rFonts w:ascii="Times New Roman" w:cs="Times New Roman" w:eastAsia="Times New Roman" w:hAnsi="Times New Roman"/>
          <w:sz w:val="18"/>
          <w:szCs w:val="18"/>
          <w:b w:val="1"/>
          <w:bCs w:val="1"/>
          <w:color w:val="auto"/>
        </w:rPr>
      </w:pPr>
    </w:p>
    <w:p>
      <w:pPr>
        <w:ind w:left="760" w:right="1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provision for income taxes for the three and nine months ended September 30, 2026 was $51 and $106, respectively. The Company’s effective tax rate for the three and nine months ended September 30, 2026 was 17.6% and 17.7%, respectively, and was lower than the U.S. statutory tax rate primarily due to the U.S. deduction for foreign-derived deduction eligible income and research and development tax credits, partially offset by foreign withholding taxes and a waiver of deductions related to U.S. base erosion payments.</w:t>
      </w:r>
    </w:p>
    <w:p>
      <w:pPr>
        <w:spacing w:after="0" w:line="71" w:lineRule="exact"/>
        <w:rPr>
          <w:rFonts w:ascii="Times New Roman" w:cs="Times New Roman" w:eastAsia="Times New Roman" w:hAnsi="Times New Roman"/>
          <w:sz w:val="18"/>
          <w:szCs w:val="18"/>
          <w:b w:val="1"/>
          <w:bCs w:val="1"/>
          <w:color w:val="auto"/>
        </w:rPr>
      </w:pPr>
    </w:p>
    <w:p>
      <w:pPr>
        <w:ind w:left="760" w:right="1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provision for income taxes for the three and nine months ended September 30, 2025 was $10 and $27, respectively. The Company’s effective tax rate for the three and nine months ended September 30, 2025 was 12.3% and 12.7%, respectively, and was lower than the U.S. statutory tax rate primarily due to the U.S. deduction for foreign-derived intangible income and research and development tax credits, partially offset by foreign withholding taxes and a waiver of deductions related to U.S. base erosion payments.</w:t>
      </w:r>
    </w:p>
    <w:p>
      <w:pPr>
        <w:spacing w:after="0" w:line="71" w:lineRule="exact"/>
        <w:rPr>
          <w:rFonts w:ascii="Times New Roman" w:cs="Times New Roman" w:eastAsia="Times New Roman" w:hAnsi="Times New Roman"/>
          <w:sz w:val="18"/>
          <w:szCs w:val="18"/>
          <w:b w:val="1"/>
          <w:bCs w:val="1"/>
          <w:color w:val="auto"/>
        </w:rPr>
      </w:pPr>
    </w:p>
    <w:p>
      <w:pPr>
        <w:ind w:left="760" w:right="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July 4, 2025, the One Big Beautiful Bill Act (the “OBBBA”) was enacted into law. The OBBBA includes changes to the U.S. tax code, such as the permanent extension of certain expiring provisions of the Tax Cuts and Jobs Act, modifications to the international tax framework and the restoration of favorable tax treatment for certain business provisions. The OBBBA has multiple effective dates, with certain provisions effective in 2025 and others implemented through 2027. These changes to the U.S. tax code have not had a material impact on the Company’s results since the enactment of OBBBA and the Company does not anticipate these changes to the U.S. tax code will have a material impact on its results in future periods.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color w:val="auto"/>
        </w:rPr>
        <w:t>MKS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200" w:lineRule="exact"/>
        <w:rPr>
          <w:sz w:val="20"/>
          <w:szCs w:val="20"/>
          <w:color w:val="auto"/>
        </w:rPr>
      </w:pPr>
    </w:p>
    <w:p>
      <w:pPr>
        <w:spacing w:after="0" w:line="219" w:lineRule="exact"/>
        <w:rPr>
          <w:sz w:val="20"/>
          <w:szCs w:val="20"/>
          <w:color w:val="auto"/>
        </w:rPr>
      </w:pPr>
    </w:p>
    <w:p>
      <w:pPr>
        <w:ind w:left="760" w:hanging="752"/>
        <w:spacing w:after="0"/>
        <w:tabs>
          <w:tab w:leader="none" w:pos="7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Per Share</w:t>
      </w:r>
    </w:p>
    <w:p>
      <w:pPr>
        <w:spacing w:after="0" w:line="229" w:lineRule="exact"/>
        <w:rPr>
          <w:rFonts w:ascii="Times New Roman" w:cs="Times New Roman" w:eastAsia="Times New Roman" w:hAnsi="Times New Roman"/>
          <w:sz w:val="18"/>
          <w:szCs w:val="18"/>
          <w:b w:val="1"/>
          <w:bCs w:val="1"/>
          <w:color w:val="auto"/>
        </w:rPr>
      </w:pP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the computation of basic and diluted net income per share:</w:t>
      </w:r>
    </w:p>
    <w:p>
      <w:pPr>
        <w:spacing w:after="0" w:line="113" w:lineRule="exact"/>
        <w:rPr>
          <w:sz w:val="20"/>
          <w:szCs w:val="20"/>
          <w:color w:val="auto"/>
        </w:rPr>
      </w:pPr>
    </w:p>
    <w:tbl>
      <w:tblPr>
        <w:tblLayout w:type="fixed"/>
        <w:tblInd w:w="80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80" w:type="dxa"/>
            <w:vAlign w:val="bottom"/>
            <w:gridSpan w:val="5"/>
          </w:tcPr>
          <w:p>
            <w:pPr>
              <w:jc w:val="right"/>
              <w:ind w:right="112"/>
              <w:spacing w:after="0"/>
              <w:rPr>
                <w:sz w:val="20"/>
                <w:szCs w:val="20"/>
                <w:color w:val="auto"/>
              </w:rPr>
            </w:pPr>
            <w:r>
              <w:rPr>
                <w:rFonts w:ascii="Times New Roman" w:cs="Times New Roman" w:eastAsia="Times New Roman" w:hAnsi="Times New Roman"/>
                <w:sz w:val="14"/>
                <w:szCs w:val="14"/>
                <w:color w:val="auto"/>
              </w:rPr>
              <w:t>Three Months Ended September 30,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4"/>
                <w:szCs w:val="14"/>
                <w:color w:val="auto"/>
              </w:rPr>
              <w:t>Nine Months Ended September 30,</w:t>
            </w:r>
          </w:p>
        </w:tc>
      </w:tr>
      <w:tr>
        <w:trPr>
          <w:trHeight w:val="142"/>
        </w:trPr>
        <w:tc>
          <w:tcPr>
            <w:tcW w:w="4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3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20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r>
      <w:tr>
        <w:trPr>
          <w:trHeight w:val="209"/>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9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1720" w:type="dxa"/>
            <w:vAlign w:val="bottom"/>
            <w:gridSpan w:val="2"/>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2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9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4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Shares used in net income per share - basic</w:t>
            </w: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Dilutive effect of potential shares</w:t>
            </w:r>
          </w:p>
        </w:tc>
        <w:tc>
          <w:tcPr>
            <w:tcW w:w="9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awards</w:t>
            </w: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Convertible Notes</w:t>
            </w:r>
          </w:p>
        </w:tc>
        <w:tc>
          <w:tcPr>
            <w:tcW w:w="9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28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Shares used in net income per share - diluted</w:t>
            </w:r>
          </w:p>
        </w:tc>
        <w:tc>
          <w:tcPr>
            <w:tcW w:w="960" w:type="dxa"/>
            <w:vAlign w:val="bottom"/>
            <w:tcBorders>
              <w:top w:val="single" w:sz="8" w:color="CFF0FC"/>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22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8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20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Borders>
              <w:top w:val="single" w:sz="8" w:color="CFF0FC"/>
            </w:tcBorders>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2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income per share:</w:t>
            </w:r>
          </w:p>
        </w:tc>
        <w:tc>
          <w:tcPr>
            <w:tcW w:w="9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4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720" w:type="dxa"/>
            <w:vAlign w:val="bottom"/>
            <w:gridSpan w:val="2"/>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720" w:type="dxa"/>
            <w:vAlign w:val="bottom"/>
            <w:gridSpan w:val="2"/>
            <w:shd w:val="clear" w:color="auto" w:fill="CFF0FC"/>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-582295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-582295</wp:posOffset>
            </wp:positionV>
            <wp:extent cx="5969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-582295</wp:posOffset>
            </wp:positionV>
            <wp:extent cx="603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-582295</wp:posOffset>
            </wp:positionV>
            <wp:extent cx="5969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ind w:left="760" w:right="40"/>
        <w:spacing w:after="0" w:line="282"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by the weighted-average number of shares of common stock outstanding during the period.</w:t>
      </w:r>
    </w:p>
    <w:p>
      <w:pPr>
        <w:spacing w:after="0" w:line="54" w:lineRule="exact"/>
        <w:rPr>
          <w:sz w:val="20"/>
          <w:szCs w:val="20"/>
          <w:color w:val="auto"/>
        </w:rPr>
      </w:pPr>
    </w:p>
    <w:p>
      <w:pPr>
        <w:ind w:left="760" w:right="260"/>
        <w:spacing w:after="0" w:line="282" w:lineRule="auto"/>
        <w:rPr>
          <w:sz w:val="20"/>
          <w:szCs w:val="20"/>
          <w:color w:val="auto"/>
        </w:rPr>
      </w:pPr>
      <w:r>
        <w:rPr>
          <w:rFonts w:ascii="Times New Roman" w:cs="Times New Roman" w:eastAsia="Times New Roman" w:hAnsi="Times New Roman"/>
          <w:sz w:val="18"/>
          <w:szCs w:val="18"/>
          <w:color w:val="auto"/>
        </w:rPr>
        <w:t>Diluted net income per share is computed by dividing net income by the weighted-average number of shares of common stock and potentially dilutive shares of common stock outstanding during the period.</w:t>
      </w:r>
    </w:p>
    <w:p>
      <w:pPr>
        <w:spacing w:after="0" w:line="54" w:lineRule="exact"/>
        <w:rPr>
          <w:sz w:val="20"/>
          <w:szCs w:val="20"/>
          <w:color w:val="auto"/>
        </w:rPr>
      </w:pPr>
    </w:p>
    <w:p>
      <w:pPr>
        <w:ind w:left="760"/>
        <w:spacing w:after="0" w:line="256" w:lineRule="auto"/>
        <w:rPr>
          <w:sz w:val="20"/>
          <w:szCs w:val="20"/>
          <w:color w:val="auto"/>
        </w:rPr>
      </w:pPr>
      <w:r>
        <w:rPr>
          <w:rFonts w:ascii="Times New Roman" w:cs="Times New Roman" w:eastAsia="Times New Roman" w:hAnsi="Times New Roman"/>
          <w:sz w:val="18"/>
          <w:szCs w:val="18"/>
          <w:color w:val="auto"/>
        </w:rPr>
        <w:t>The dilutive effect of equity awards is calculated based on the average stock price for the relevant period, using the treasury stock method. In periods in which a net loss is recognized, the impact of equity awards is not included as they would be antidilutive. For the three and nine months ended September 30, 2026 and three months ended September 30, 2025, the Company had an immaterial quantity of equity awards that were antidilutive and excluded from the computation of diluted weighted-average number of shares. For the nine months ended September 30, 2025, there were 0.2 of restricted stock units (“RSUs”) that were antidilutive and excluded from the computation of diluted weighted-average number of shares.</w:t>
      </w:r>
    </w:p>
    <w:p>
      <w:pPr>
        <w:spacing w:after="0" w:line="79" w:lineRule="exact"/>
        <w:rPr>
          <w:sz w:val="20"/>
          <w:szCs w:val="20"/>
          <w:color w:val="auto"/>
        </w:rPr>
      </w:pPr>
    </w:p>
    <w:p>
      <w:pPr>
        <w:ind w:left="760" w:right="20"/>
        <w:spacing w:after="0" w:line="255" w:lineRule="auto"/>
        <w:rPr>
          <w:sz w:val="20"/>
          <w:szCs w:val="20"/>
          <w:color w:val="auto"/>
        </w:rPr>
      </w:pPr>
      <w:r>
        <w:rPr>
          <w:rFonts w:ascii="Times New Roman" w:cs="Times New Roman" w:eastAsia="Times New Roman" w:hAnsi="Times New Roman"/>
          <w:sz w:val="18"/>
          <w:szCs w:val="18"/>
          <w:color w:val="auto"/>
        </w:rPr>
        <w:t>The dilutive effect of the Convertible Notes is calculated under the if-converted method. Interest expense, net of tax, is not added back to net income to calculate diluted net income per share as the principal amount of the Convertible Notes is required to be paid in cash. For the three and nine months ended September 30, 2026, shares of the Company’s common stock that would be issued upon conversion of the Convertible Notes are included in the weighted-average number of shares of common stock used to calculate diluted net income per share. For the three and nine months ended September 30, 2025, shares of common stock that would have been issued if the Convertible Notes had been converted are not included in the calculation of diluted net income per share as the Company’s average share price during these periods was below the initial conversion price and inclusion would be antidilutive.</w:t>
      </w:r>
    </w:p>
    <w:p>
      <w:pPr>
        <w:spacing w:after="0" w:line="81" w:lineRule="exact"/>
        <w:rPr>
          <w:sz w:val="20"/>
          <w:szCs w:val="20"/>
          <w:color w:val="auto"/>
        </w:rPr>
      </w:pPr>
    </w:p>
    <w:p>
      <w:pPr>
        <w:ind w:left="760" w:right="60"/>
        <w:spacing w:after="0" w:line="261" w:lineRule="auto"/>
        <w:rPr>
          <w:sz w:val="20"/>
          <w:szCs w:val="20"/>
          <w:color w:val="auto"/>
        </w:rPr>
      </w:pPr>
      <w:r>
        <w:rPr>
          <w:rFonts w:ascii="Times New Roman" w:cs="Times New Roman" w:eastAsia="Times New Roman" w:hAnsi="Times New Roman"/>
          <w:sz w:val="18"/>
          <w:szCs w:val="18"/>
          <w:color w:val="auto"/>
        </w:rPr>
        <w:t>The Convertible Debt Capped Calls, as described in Note 8, are excluded from the calculation of diluted net income per share as they would be antidilutive. However, upon conversion of the Convertible Notes, the Convertible Debt Capped Calls would generally offset any dilution from the Convertible Notes from the conversion price up to a cap initially equal to $237.42 per share. See Note 8 for further information regarding the Convertible Notes and Convertible Debt Capped Calls.</w:t>
      </w:r>
    </w:p>
    <w:p>
      <w:pPr>
        <w:spacing w:after="0" w:line="176" w:lineRule="exact"/>
        <w:rPr>
          <w:sz w:val="20"/>
          <w:szCs w:val="20"/>
          <w:color w:val="auto"/>
        </w:rPr>
      </w:pPr>
    </w:p>
    <w:p>
      <w:pPr>
        <w:ind w:left="760" w:right="8380" w:hanging="752"/>
        <w:spacing w:after="0" w:line="400" w:lineRule="auto"/>
        <w:tabs>
          <w:tab w:leader="none" w:pos="760" w:val="left"/>
        </w:tabs>
        <w:numPr>
          <w:ilvl w:val="0"/>
          <w:numId w:val="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Stock-Based Compensation </w:t>
      </w:r>
      <w:r>
        <w:rPr>
          <w:rFonts w:ascii="Times New Roman" w:cs="Times New Roman" w:eastAsia="Times New Roman" w:hAnsi="Times New Roman"/>
          <w:sz w:val="17"/>
          <w:szCs w:val="17"/>
          <w:u w:val="single" w:color="auto"/>
          <w:color w:val="auto"/>
        </w:rPr>
        <w:t>Equity Incentive Plans</w:t>
      </w:r>
    </w:p>
    <w:p>
      <w:pPr>
        <w:ind w:left="760" w:right="14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Stock-based awards include (i) time-based RSUs, (ii) performance-based RSUs based on the achievement of adjusted EBITDA targets over a one-year performance period, (iii) performance-based RSUs based on the Company’s total stockholder return relative to a group of peers over a three-year performance period and (iv) employee stock purchase plan rights. The Company grants RSUs to employees and directors under the 2022 Stock Incentive Plan, as amended and restated,</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color w:val="auto"/>
        </w:rPr>
        <w:t>MKS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3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and issues shares of common stock under the 2014 Employee Stock Purchase Plan pursuant to its employee stock purchase program.</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tables present the activity for the RSUs:</w:t>
      </w:r>
    </w:p>
    <w:p>
      <w:pPr>
        <w:spacing w:after="0" w:line="15"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4"/>
          <w:szCs w:val="14"/>
          <w:color w:val="auto"/>
        </w:rPr>
        <w:t>Nine Months Ended September 30, 2026</w:t>
      </w:r>
    </w:p>
    <w:tbl>
      <w:tblPr>
        <w:tblLayout w:type="fixed"/>
        <w:tblInd w:w="80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6340" w:type="dxa"/>
            <w:vAlign w:val="bottom"/>
          </w:tcPr>
          <w:p>
            <w:pPr>
              <w:spacing w:after="0"/>
              <w:rPr>
                <w:sz w:val="10"/>
                <w:szCs w:val="10"/>
                <w:color w:val="auto"/>
              </w:rPr>
            </w:pPr>
          </w:p>
        </w:tc>
        <w:tc>
          <w:tcPr>
            <w:tcW w:w="14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tcPr>
          <w:p>
            <w:pPr>
              <w:jc w:val="center"/>
              <w:ind w:right="180"/>
              <w:spacing w:after="0" w:line="119" w:lineRule="exact"/>
              <w:rPr>
                <w:sz w:val="20"/>
                <w:szCs w:val="20"/>
                <w:color w:val="auto"/>
              </w:rPr>
            </w:pPr>
            <w:r>
              <w:rPr>
                <w:rFonts w:ascii="Times New Roman" w:cs="Times New Roman" w:eastAsia="Times New Roman" w:hAnsi="Times New Roman"/>
                <w:sz w:val="13"/>
                <w:szCs w:val="13"/>
                <w:color w:val="auto"/>
              </w:rPr>
              <w:t>Weighted Average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rPr>
              <w:t>Grant Date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14"/>
                <w:szCs w:val="14"/>
                <w:color w:val="auto"/>
              </w:rPr>
              <w:t>Quantity</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color w:val="auto"/>
              </w:rPr>
              <w:t>Per Share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or forfeited</w:t>
            </w:r>
          </w:p>
        </w:tc>
        <w:tc>
          <w:tcPr>
            <w:tcW w:w="14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14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143.90</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900" w:type="dxa"/>
            <w:vAlign w:val="bottom"/>
            <w:tcBorders>
              <w:bottom w:val="single" w:sz="8" w:color="auto"/>
            </w:tcBorders>
            <w:gridSpan w:val="2"/>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4080" w:type="dxa"/>
            <w:vAlign w:val="bottom"/>
            <w:gridSpan w:val="6"/>
          </w:tcPr>
          <w:p>
            <w:pPr>
              <w:ind w:left="820"/>
              <w:spacing w:after="0"/>
              <w:rPr>
                <w:sz w:val="20"/>
                <w:szCs w:val="20"/>
                <w:color w:val="auto"/>
              </w:rPr>
            </w:pPr>
            <w:r>
              <w:rPr>
                <w:rFonts w:ascii="Times New Roman" w:cs="Times New Roman" w:eastAsia="Times New Roman" w:hAnsi="Times New Roman"/>
                <w:sz w:val="14"/>
                <w:szCs w:val="14"/>
                <w:color w:val="auto"/>
              </w:rPr>
              <w:t>Nine Months Ended September 30, 2025</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340" w:type="dxa"/>
            <w:vAlign w:val="bottom"/>
          </w:tcPr>
          <w:p>
            <w:pPr>
              <w:spacing w:after="0"/>
              <w:rPr>
                <w:sz w:val="10"/>
                <w:szCs w:val="10"/>
                <w:color w:val="auto"/>
              </w:rPr>
            </w:pPr>
          </w:p>
        </w:tc>
        <w:tc>
          <w:tcPr>
            <w:tcW w:w="14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tcPr>
          <w:p>
            <w:pPr>
              <w:jc w:val="center"/>
              <w:ind w:right="180"/>
              <w:spacing w:after="0" w:line="119" w:lineRule="exact"/>
              <w:rPr>
                <w:sz w:val="20"/>
                <w:szCs w:val="20"/>
                <w:color w:val="auto"/>
              </w:rPr>
            </w:pPr>
            <w:r>
              <w:rPr>
                <w:rFonts w:ascii="Times New Roman" w:cs="Times New Roman" w:eastAsia="Times New Roman" w:hAnsi="Times New Roman"/>
                <w:sz w:val="13"/>
                <w:szCs w:val="13"/>
                <w:color w:val="auto"/>
              </w:rPr>
              <w:t>Weighted Average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rPr>
              <w:t>Grant Date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14"/>
                <w:szCs w:val="14"/>
                <w:color w:val="auto"/>
              </w:rPr>
              <w:t>Quantity</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color w:val="auto"/>
              </w:rPr>
              <w:t>Per Share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or forfeited</w:t>
            </w:r>
          </w:p>
        </w:tc>
        <w:tc>
          <w:tcPr>
            <w:tcW w:w="14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14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88.93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-1448435</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-170815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Stock-Based Compensation Expense</w:t>
      </w:r>
    </w:p>
    <w:p>
      <w:pPr>
        <w:spacing w:after="0" w:line="117" w:lineRule="exact"/>
        <w:rPr>
          <w:sz w:val="20"/>
          <w:szCs w:val="20"/>
          <w:color w:val="auto"/>
        </w:rPr>
      </w:pPr>
    </w:p>
    <w:p>
      <w:pPr>
        <w:ind w:left="760" w:right="600"/>
        <w:spacing w:after="0" w:line="282" w:lineRule="auto"/>
        <w:rPr>
          <w:sz w:val="20"/>
          <w:szCs w:val="20"/>
          <w:color w:val="auto"/>
        </w:rPr>
      </w:pPr>
      <w:r>
        <w:rPr>
          <w:rFonts w:ascii="Times New Roman" w:cs="Times New Roman" w:eastAsia="Times New Roman" w:hAnsi="Times New Roman"/>
          <w:sz w:val="18"/>
          <w:szCs w:val="18"/>
          <w:color w:val="auto"/>
        </w:rPr>
        <w:t>The pre-tax effect of stock-based compensation expense included in the Company’s condensed consolidated statements of operations and comprehensive income (loss) was as follows:</w:t>
      </w:r>
    </w:p>
    <w:p>
      <w:pPr>
        <w:spacing w:after="0" w:line="49" w:lineRule="exact"/>
        <w:rPr>
          <w:sz w:val="20"/>
          <w:szCs w:val="20"/>
          <w:color w:val="auto"/>
        </w:rPr>
      </w:pPr>
    </w:p>
    <w:tbl>
      <w:tblPr>
        <w:tblLayout w:type="fixed"/>
        <w:tblInd w:w="80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2700" w:type="dxa"/>
            <w:vAlign w:val="bottom"/>
            <w:gridSpan w:val="4"/>
          </w:tcPr>
          <w:p>
            <w:pPr>
              <w:jc w:val="right"/>
              <w:ind w:right="68"/>
              <w:spacing w:after="0"/>
              <w:rPr>
                <w:sz w:val="20"/>
                <w:szCs w:val="20"/>
                <w:color w:val="auto"/>
              </w:rPr>
            </w:pPr>
            <w:r>
              <w:rPr>
                <w:rFonts w:ascii="Times New Roman" w:cs="Times New Roman" w:eastAsia="Times New Roman" w:hAnsi="Times New Roman"/>
                <w:sz w:val="14"/>
                <w:szCs w:val="14"/>
                <w:color w:val="auto"/>
              </w:rPr>
              <w:t>Three Months Ended September 30,</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0" w:type="dxa"/>
            <w:vAlign w:val="bottom"/>
            <w:gridSpan w:val="5"/>
          </w:tcPr>
          <w:p>
            <w:pPr>
              <w:ind w:left="180"/>
              <w:spacing w:after="0"/>
              <w:rPr>
                <w:sz w:val="20"/>
                <w:szCs w:val="20"/>
                <w:color w:val="auto"/>
              </w:rPr>
            </w:pPr>
            <w:r>
              <w:rPr>
                <w:rFonts w:ascii="Times New Roman" w:cs="Times New Roman" w:eastAsia="Times New Roman" w:hAnsi="Times New Roman"/>
                <w:sz w:val="14"/>
                <w:szCs w:val="14"/>
                <w:color w:val="auto"/>
              </w:rPr>
              <w:t>Nine Months Ended September 30,</w:t>
            </w:r>
          </w:p>
        </w:tc>
      </w:tr>
      <w:tr>
        <w:trPr>
          <w:trHeight w:val="142"/>
        </w:trPr>
        <w:tc>
          <w:tcPr>
            <w:tcW w:w="412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4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34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2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94"/>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r>
      <w:tr>
        <w:trPr>
          <w:trHeight w:val="210"/>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040" w:type="dxa"/>
            <w:vAlign w:val="bottom"/>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60" w:type="dxa"/>
            <w:vAlign w:val="bottom"/>
            <w:gridSpan w:val="2"/>
            <w:shd w:val="clear" w:color="auto" w:fill="CFF0FC"/>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0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r>
      <w:tr>
        <w:trPr>
          <w:trHeight w:val="216"/>
        </w:trPr>
        <w:tc>
          <w:tcPr>
            <w:tcW w:w="4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04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pre-tax stock-based compensation expense</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60" w:type="dxa"/>
            <w:vAlign w:val="bottom"/>
            <w:gridSpan w:val="2"/>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8"/>
                <w:szCs w:val="18"/>
                <w:color w:val="auto"/>
              </w:rPr>
            </w:pPr>
          </w:p>
        </w:tc>
      </w:tr>
      <w:tr>
        <w:trPr>
          <w:trHeight w:val="20"/>
        </w:trPr>
        <w:tc>
          <w:tcPr>
            <w:tcW w:w="4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-170815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-170815</wp:posOffset>
            </wp:positionV>
            <wp:extent cx="603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-170815</wp:posOffset>
            </wp:positionV>
            <wp:extent cx="603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-170815</wp:posOffset>
            </wp:positionV>
            <wp:extent cx="596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90" w:lineRule="exact"/>
        <w:rPr>
          <w:sz w:val="20"/>
          <w:szCs w:val="20"/>
          <w:color w:val="auto"/>
        </w:rPr>
      </w:pPr>
    </w:p>
    <w:p>
      <w:pPr>
        <w:ind w:left="760" w:right="8520" w:hanging="752"/>
        <w:spacing w:after="0" w:line="503" w:lineRule="auto"/>
        <w:tabs>
          <w:tab w:leader="none" w:pos="7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Stockholders’ Equity </w:t>
      </w:r>
      <w:r>
        <w:rPr>
          <w:rFonts w:ascii="Times New Roman" w:cs="Times New Roman" w:eastAsia="Times New Roman" w:hAnsi="Times New Roman"/>
          <w:sz w:val="18"/>
          <w:szCs w:val="18"/>
          <w:u w:val="single" w:color="auto"/>
          <w:color w:val="auto"/>
        </w:rPr>
        <w:t>Share Repurchase Program</w:t>
      </w:r>
    </w:p>
    <w:p>
      <w:pPr>
        <w:ind w:left="7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July 25, 2011, the Company’s Board of Directors approved a share repurchase program for the repurchase of up to an aggregate of $200 of its outstanding common stock (the “2011 Program”).</w:t>
      </w:r>
    </w:p>
    <w:p>
      <w:pPr>
        <w:spacing w:after="0" w:line="53" w:lineRule="exact"/>
        <w:rPr>
          <w:rFonts w:ascii="Times New Roman" w:cs="Times New Roman" w:eastAsia="Times New Roman" w:hAnsi="Times New Roman"/>
          <w:sz w:val="18"/>
          <w:szCs w:val="18"/>
          <w:b w:val="1"/>
          <w:bCs w:val="1"/>
          <w:color w:val="auto"/>
        </w:rPr>
      </w:pPr>
    </w:p>
    <w:p>
      <w:pPr>
        <w:ind w:left="760" w:right="2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nine months ended September 30, 2026, there were no repurchases of common stock under the 2011 Program. During the nine months ended September 30, 2025, the Company repurchased approximately 0.5 shares of its common stock under the 2011 Program for total consideration of $45.</w:t>
      </w:r>
    </w:p>
    <w:p>
      <w:pPr>
        <w:spacing w:after="0" w:line="67" w:lineRule="exact"/>
        <w:rPr>
          <w:rFonts w:ascii="Times New Roman" w:cs="Times New Roman" w:eastAsia="Times New Roman" w:hAnsi="Times New Roman"/>
          <w:sz w:val="18"/>
          <w:szCs w:val="18"/>
          <w:b w:val="1"/>
          <w:bCs w:val="1"/>
          <w:color w:val="auto"/>
        </w:rPr>
      </w:pPr>
    </w:p>
    <w:p>
      <w:pPr>
        <w:ind w:left="760" w:right="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November 2, 2026, the Company's Board of Directors approved a new share repurchase program for the repurchase of up to an aggregate of $500 of its outstanding common stock (the “2026 Program”) from time to time in open market purchases, privately negotiated transactions or through other appropriate means. The 2026 Program replaced the 2011 Program, under which the Company repurchased approximately 3.1 shares of common stock for approximately $172. The timing and quantity of any shares repurchased will depend upon a variety of factors, including business conditions, stock market conditions and business development activities, including, but not limited to, merger and acquisition opportunities. The Board of Directors may suspend or terminate the 2026 Program at any time. Any repurchased shares are held by the Company as authorized but unissued shares.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 w:name="page25"/>
    <w:bookmarkEnd w:id="24"/>
    <w:p>
      <w:pPr>
        <w:jc w:val="center"/>
        <w:ind w:right="740"/>
        <w:spacing w:after="0"/>
        <w:rPr>
          <w:sz w:val="20"/>
          <w:szCs w:val="20"/>
          <w:color w:val="auto"/>
        </w:rPr>
      </w:pPr>
      <w:r>
        <w:rPr>
          <w:rFonts w:ascii="Times New Roman" w:cs="Times New Roman" w:eastAsia="Times New Roman" w:hAnsi="Times New Roman"/>
          <w:sz w:val="18"/>
          <w:szCs w:val="18"/>
          <w:color w:val="auto"/>
        </w:rPr>
        <w:t>MKS INC.</w:t>
      </w:r>
    </w:p>
    <w:p>
      <w:pPr>
        <w:spacing w:after="0" w:line="27"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Dividends</w:t>
      </w:r>
    </w:p>
    <w:p>
      <w:pPr>
        <w:spacing w:after="0" w:line="22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Holders of the Company’s common stock are entitled to receive dividends when and if they are declared by the Company’s Board of Directors. During each of the first three quarters of 2026, the Company’s Board of Directors declared a cash dividend of $0.25 per share, totaling in aggregate $51 during the nine months ended September 30, 2026. During each of the first three quarters of 2025, the Company’s Board of Directors declared a cash dividend of $0.22 per share, totaling in aggregate $44 during the nine months ended September 30, 2025.</w:t>
      </w:r>
    </w:p>
    <w:p>
      <w:pPr>
        <w:spacing w:after="0" w:line="7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November 2, 2026, the Company’s Board of Directors declared a quarterly cash dividend of $0.25 per share to be paid on December 7, 2026 to stockholders of record as of November 25, 2026.</w:t>
      </w:r>
    </w:p>
    <w:p>
      <w:pPr>
        <w:spacing w:after="0" w:line="5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Future dividend declarations, if any, as well as the record and payment dates for such dividends, are subject to the final determination of the Company’s Board of Directors.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Accumulated Other Comprehensive Income (Loss)</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changes in accumulated other comprehensive income (loss) (“AOCI”) by component as of September 30, 2026 and September 30, 2025, net of aggregate tax of $(12) and $11, respectively, were as follows: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Changes in value</w:t>
            </w:r>
          </w:p>
        </w:tc>
        <w:tc>
          <w:tcPr>
            <w:tcW w:w="100" w:type="dxa"/>
            <w:vAlign w:val="bottom"/>
          </w:tcPr>
          <w:p>
            <w:pPr>
              <w:spacing w:after="0"/>
              <w:rPr>
                <w:sz w:val="13"/>
                <w:szCs w:val="13"/>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Foreign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of financial</w:t>
            </w: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color w:val="auto"/>
              </w:rPr>
              <w:t>Change in net</w:t>
            </w:r>
          </w:p>
        </w:tc>
        <w:tc>
          <w:tcPr>
            <w:tcW w:w="120" w:type="dxa"/>
            <w:vAlign w:val="bottom"/>
          </w:tcPr>
          <w:p>
            <w:pPr>
              <w:spacing w:after="0"/>
              <w:rPr>
                <w:sz w:val="12"/>
                <w:szCs w:val="12"/>
                <w:color w:val="auto"/>
              </w:rPr>
            </w:pPr>
          </w:p>
        </w:tc>
        <w:tc>
          <w:tcPr>
            <w:tcW w:w="10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color w:val="auto"/>
              </w:rPr>
              <w:t>Unrecognized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instruments</w:t>
            </w:r>
          </w:p>
        </w:tc>
        <w:tc>
          <w:tcPr>
            <w:tcW w:w="10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currency</w:t>
            </w:r>
          </w:p>
        </w:tc>
        <w:tc>
          <w:tcPr>
            <w:tcW w:w="1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designated as</w:t>
            </w:r>
          </w:p>
        </w:tc>
        <w:tc>
          <w:tcPr>
            <w:tcW w:w="10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translation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investment</w:t>
            </w:r>
          </w:p>
        </w:tc>
        <w:tc>
          <w:tcPr>
            <w:tcW w:w="120" w:type="dxa"/>
            <w:vAlign w:val="bottom"/>
          </w:tcPr>
          <w:p>
            <w:pPr>
              <w:spacing w:after="0"/>
              <w:rPr>
                <w:sz w:val="12"/>
                <w:szCs w:val="12"/>
                <w:color w:val="auto"/>
              </w:rPr>
            </w:pPr>
          </w:p>
        </w:tc>
        <w:tc>
          <w:tcPr>
            <w:tcW w:w="102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pension gain</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10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cash flow hedges</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color w:val="auto"/>
              </w:rPr>
              <w:t>adjustments</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color w:val="auto"/>
              </w:rPr>
              <w:t>hedge</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color w:val="auto"/>
              </w:rPr>
              <w:t>(loss)</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December 31, 2025</w:t>
            </w: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(55)</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(52)</w:t>
            </w:r>
          </w:p>
        </w:tc>
        <w:tc>
          <w:tcPr>
            <w:tcW w:w="3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213"/>
        </w:trPr>
        <w:tc>
          <w:tcPr>
            <w:tcW w:w="4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Amounts reclassified out of AOCI</w:t>
            </w:r>
          </w:p>
        </w:tc>
        <w:tc>
          <w:tcPr>
            <w:tcW w:w="1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
        </w:trPr>
        <w:tc>
          <w:tcPr>
            <w:tcW w:w="47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other comprehensive income (loss)</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March 31, 2026</w:t>
            </w: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(89)</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w:t>
            </w:r>
          </w:p>
        </w:tc>
        <w:tc>
          <w:tcPr>
            <w:tcW w:w="3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0"/>
        </w:trPr>
        <w:tc>
          <w:tcPr>
            <w:tcW w:w="47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Amounts reclassified out of AOCI</w:t>
            </w: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7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other comprehensive income (loss)</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June 30, 2026</w:t>
            </w: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(64)</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194"/>
        </w:trPr>
        <w:tc>
          <w:tcPr>
            <w:tcW w:w="4760" w:type="dxa"/>
            <w:vAlign w:val="bottom"/>
            <w:tcBorders>
              <w:top w:val="single" w:sz="8" w:color="CFF0FC"/>
            </w:tcBorders>
          </w:tcPr>
          <w:p>
            <w:pPr>
              <w:ind w:left="4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76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Amounts reclassified out of AOCI</w:t>
            </w:r>
          </w:p>
        </w:tc>
        <w:tc>
          <w:tcPr>
            <w:tcW w:w="1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other comprehensive income (loss)</w:t>
            </w: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September 30, 2026</w:t>
            </w: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3696970</wp:posOffset>
            </wp:positionH>
            <wp:positionV relativeFrom="paragraph">
              <wp:posOffset>-1430655</wp:posOffset>
            </wp:positionV>
            <wp:extent cx="603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4417060</wp:posOffset>
            </wp:positionH>
            <wp:positionV relativeFrom="paragraph">
              <wp:posOffset>-1430655</wp:posOffset>
            </wp:positionV>
            <wp:extent cx="603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5137150</wp:posOffset>
            </wp:positionH>
            <wp:positionV relativeFrom="paragraph">
              <wp:posOffset>-1430655</wp:posOffset>
            </wp:positionV>
            <wp:extent cx="596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5857240</wp:posOffset>
            </wp:positionH>
            <wp:positionV relativeFrom="paragraph">
              <wp:posOffset>-1430655</wp:posOffset>
            </wp:positionV>
            <wp:extent cx="603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6586220</wp:posOffset>
            </wp:positionH>
            <wp:positionV relativeFrom="paragraph">
              <wp:posOffset>-1430655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3696970</wp:posOffset>
            </wp:positionH>
            <wp:positionV relativeFrom="paragraph">
              <wp:posOffset>-1156335</wp:posOffset>
            </wp:positionV>
            <wp:extent cx="603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3696970</wp:posOffset>
            </wp:positionH>
            <wp:positionV relativeFrom="paragraph">
              <wp:posOffset>-1139190</wp:posOffset>
            </wp:positionV>
            <wp:extent cx="6032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4417060</wp:posOffset>
            </wp:positionH>
            <wp:positionV relativeFrom="paragraph">
              <wp:posOffset>-1156335</wp:posOffset>
            </wp:positionV>
            <wp:extent cx="603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4417060</wp:posOffset>
            </wp:positionH>
            <wp:positionV relativeFrom="paragraph">
              <wp:posOffset>-1139190</wp:posOffset>
            </wp:positionV>
            <wp:extent cx="6032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5137150</wp:posOffset>
            </wp:positionH>
            <wp:positionV relativeFrom="paragraph">
              <wp:posOffset>-1156335</wp:posOffset>
            </wp:positionV>
            <wp:extent cx="596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5137150</wp:posOffset>
            </wp:positionH>
            <wp:positionV relativeFrom="paragraph">
              <wp:posOffset>-1139190</wp:posOffset>
            </wp:positionV>
            <wp:extent cx="5969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5857240</wp:posOffset>
            </wp:positionH>
            <wp:positionV relativeFrom="paragraph">
              <wp:posOffset>-1156335</wp:posOffset>
            </wp:positionV>
            <wp:extent cx="603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5857240</wp:posOffset>
            </wp:positionH>
            <wp:positionV relativeFrom="paragraph">
              <wp:posOffset>-1139190</wp:posOffset>
            </wp:positionV>
            <wp:extent cx="6032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6586220</wp:posOffset>
            </wp:positionH>
            <wp:positionV relativeFrom="paragraph">
              <wp:posOffset>-1156335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6586220</wp:posOffset>
            </wp:positionH>
            <wp:positionV relativeFrom="paragraph">
              <wp:posOffset>-1139190</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3696970</wp:posOffset>
            </wp:positionH>
            <wp:positionV relativeFrom="paragraph">
              <wp:posOffset>-864870</wp:posOffset>
            </wp:positionV>
            <wp:extent cx="603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4417060</wp:posOffset>
            </wp:positionH>
            <wp:positionV relativeFrom="paragraph">
              <wp:posOffset>-864870</wp:posOffset>
            </wp:positionV>
            <wp:extent cx="6032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5137150</wp:posOffset>
            </wp:positionH>
            <wp:positionV relativeFrom="paragraph">
              <wp:posOffset>-864870</wp:posOffset>
            </wp:positionV>
            <wp:extent cx="596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5857240</wp:posOffset>
            </wp:positionH>
            <wp:positionV relativeFrom="paragraph">
              <wp:posOffset>-864870</wp:posOffset>
            </wp:positionV>
            <wp:extent cx="603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6586220</wp:posOffset>
            </wp:positionH>
            <wp:positionV relativeFrom="paragraph">
              <wp:posOffset>-864870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3696970</wp:posOffset>
            </wp:positionH>
            <wp:positionV relativeFrom="paragraph">
              <wp:posOffset>-590550</wp:posOffset>
            </wp:positionV>
            <wp:extent cx="6032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3696970</wp:posOffset>
            </wp:positionH>
            <wp:positionV relativeFrom="paragraph">
              <wp:posOffset>-573405</wp:posOffset>
            </wp:positionV>
            <wp:extent cx="6032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4417060</wp:posOffset>
            </wp:positionH>
            <wp:positionV relativeFrom="paragraph">
              <wp:posOffset>-590550</wp:posOffset>
            </wp:positionV>
            <wp:extent cx="6032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4417060</wp:posOffset>
            </wp:positionH>
            <wp:positionV relativeFrom="paragraph">
              <wp:posOffset>-573405</wp:posOffset>
            </wp:positionV>
            <wp:extent cx="6032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5137150</wp:posOffset>
            </wp:positionH>
            <wp:positionV relativeFrom="paragraph">
              <wp:posOffset>-590550</wp:posOffset>
            </wp:positionV>
            <wp:extent cx="596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5137150</wp:posOffset>
            </wp:positionH>
            <wp:positionV relativeFrom="paragraph">
              <wp:posOffset>-573405</wp:posOffset>
            </wp:positionV>
            <wp:extent cx="596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5857240</wp:posOffset>
            </wp:positionH>
            <wp:positionV relativeFrom="paragraph">
              <wp:posOffset>-590550</wp:posOffset>
            </wp:positionV>
            <wp:extent cx="6032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5857240</wp:posOffset>
            </wp:positionH>
            <wp:positionV relativeFrom="paragraph">
              <wp:posOffset>-573405</wp:posOffset>
            </wp:positionV>
            <wp:extent cx="6032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6586220</wp:posOffset>
            </wp:positionH>
            <wp:positionV relativeFrom="paragraph">
              <wp:posOffset>-590550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6586220</wp:posOffset>
            </wp:positionH>
            <wp:positionV relativeFrom="paragraph">
              <wp:posOffset>-573405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3696970</wp:posOffset>
            </wp:positionH>
            <wp:positionV relativeFrom="paragraph">
              <wp:posOffset>-299720</wp:posOffset>
            </wp:positionV>
            <wp:extent cx="6032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4417060</wp:posOffset>
            </wp:positionH>
            <wp:positionV relativeFrom="paragraph">
              <wp:posOffset>-299720</wp:posOffset>
            </wp:positionV>
            <wp:extent cx="6032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5137150</wp:posOffset>
            </wp:positionH>
            <wp:positionV relativeFrom="paragraph">
              <wp:posOffset>-299720</wp:posOffset>
            </wp:positionV>
            <wp:extent cx="5969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5857240</wp:posOffset>
            </wp:positionH>
            <wp:positionV relativeFrom="paragraph">
              <wp:posOffset>-299720</wp:posOffset>
            </wp:positionV>
            <wp:extent cx="6032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6586220</wp:posOffset>
            </wp:positionH>
            <wp:positionV relativeFrom="paragraph">
              <wp:posOffset>-299720</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3696970</wp:posOffset>
            </wp:positionH>
            <wp:positionV relativeFrom="paragraph">
              <wp:posOffset>-24765</wp:posOffset>
            </wp:positionV>
            <wp:extent cx="6032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3696970</wp:posOffset>
            </wp:positionH>
            <wp:positionV relativeFrom="paragraph">
              <wp:posOffset>-7620</wp:posOffset>
            </wp:positionV>
            <wp:extent cx="603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4417060</wp:posOffset>
            </wp:positionH>
            <wp:positionV relativeFrom="paragraph">
              <wp:posOffset>-24765</wp:posOffset>
            </wp:positionV>
            <wp:extent cx="603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4417060</wp:posOffset>
            </wp:positionH>
            <wp:positionV relativeFrom="paragraph">
              <wp:posOffset>-7620</wp:posOffset>
            </wp:positionV>
            <wp:extent cx="603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5137150</wp:posOffset>
            </wp:positionH>
            <wp:positionV relativeFrom="paragraph">
              <wp:posOffset>-24765</wp:posOffset>
            </wp:positionV>
            <wp:extent cx="5969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5137150</wp:posOffset>
            </wp:positionH>
            <wp:positionV relativeFrom="paragraph">
              <wp:posOffset>-7620</wp:posOffset>
            </wp:positionV>
            <wp:extent cx="596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5857240</wp:posOffset>
            </wp:positionH>
            <wp:positionV relativeFrom="paragraph">
              <wp:posOffset>-24765</wp:posOffset>
            </wp:positionV>
            <wp:extent cx="6032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5857240</wp:posOffset>
            </wp:positionH>
            <wp:positionV relativeFrom="paragraph">
              <wp:posOffset>-7620</wp:posOffset>
            </wp:positionV>
            <wp:extent cx="6032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6586220</wp:posOffset>
            </wp:positionH>
            <wp:positionV relativeFrom="paragraph">
              <wp:posOffset>-24765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6586220</wp:posOffset>
            </wp:positionH>
            <wp:positionV relativeFrom="paragraph">
              <wp:posOffset>-7620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769"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color w:val="auto"/>
        </w:rPr>
        <w:t>MKS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190"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Changes in value</w:t>
            </w:r>
          </w:p>
        </w:tc>
        <w:tc>
          <w:tcPr>
            <w:tcW w:w="100" w:type="dxa"/>
            <w:vAlign w:val="bottom"/>
          </w:tcPr>
          <w:p>
            <w:pPr>
              <w:spacing w:after="0"/>
              <w:rPr>
                <w:sz w:val="13"/>
                <w:szCs w:val="13"/>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Foreign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of financial</w:t>
            </w: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color w:val="auto"/>
              </w:rPr>
              <w:t>Change in net</w:t>
            </w:r>
          </w:p>
        </w:tc>
        <w:tc>
          <w:tcPr>
            <w:tcW w:w="120" w:type="dxa"/>
            <w:vAlign w:val="bottom"/>
          </w:tcPr>
          <w:p>
            <w:pPr>
              <w:spacing w:after="0"/>
              <w:rPr>
                <w:sz w:val="12"/>
                <w:szCs w:val="12"/>
                <w:color w:val="auto"/>
              </w:rPr>
            </w:pPr>
          </w:p>
        </w:tc>
        <w:tc>
          <w:tcPr>
            <w:tcW w:w="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Unrecognized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instruments</w:t>
            </w:r>
          </w:p>
        </w:tc>
        <w:tc>
          <w:tcPr>
            <w:tcW w:w="10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currency</w:t>
            </w:r>
          </w:p>
        </w:tc>
        <w:tc>
          <w:tcPr>
            <w:tcW w:w="1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designated as</w:t>
            </w:r>
          </w:p>
        </w:tc>
        <w:tc>
          <w:tcPr>
            <w:tcW w:w="10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translation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investment</w:t>
            </w:r>
          </w:p>
        </w:tc>
        <w:tc>
          <w:tcPr>
            <w:tcW w:w="12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pension gain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10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cash flow hedges</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color w:val="auto"/>
              </w:rPr>
              <w:t>adjustments</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color w:val="auto"/>
              </w:rPr>
              <w:t>hedge</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color w:val="auto"/>
              </w:rPr>
              <w:t>(loss)</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(292)</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(248)</w:t>
            </w:r>
          </w:p>
        </w:tc>
        <w:tc>
          <w:tcPr>
            <w:tcW w:w="0" w:type="dxa"/>
            <w:vAlign w:val="bottom"/>
          </w:tcPr>
          <w:p>
            <w:pPr>
              <w:spacing w:after="0"/>
              <w:rPr>
                <w:sz w:val="1"/>
                <w:szCs w:val="1"/>
                <w:color w:val="auto"/>
              </w:rPr>
            </w:pPr>
          </w:p>
        </w:tc>
      </w:tr>
      <w:tr>
        <w:trPr>
          <w:trHeight w:val="213"/>
        </w:trPr>
        <w:tc>
          <w:tcPr>
            <w:tcW w:w="4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76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Amounts reclassified out of AOCI</w:t>
            </w:r>
          </w:p>
        </w:tc>
        <w:tc>
          <w:tcPr>
            <w:tcW w:w="1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other comprehensive income (loss)</w:t>
            </w:r>
          </w:p>
        </w:tc>
        <w:tc>
          <w:tcPr>
            <w:tcW w:w="10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March 31, 2025</w:t>
            </w: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(238)</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w:t>
            </w:r>
          </w:p>
        </w:tc>
        <w:tc>
          <w:tcPr>
            <w:tcW w:w="3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4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(225)</w:t>
            </w:r>
          </w:p>
        </w:tc>
        <w:tc>
          <w:tcPr>
            <w:tcW w:w="0" w:type="dxa"/>
            <w:vAlign w:val="bottom"/>
          </w:tcPr>
          <w:p>
            <w:pPr>
              <w:spacing w:after="0"/>
              <w:rPr>
                <w:sz w:val="1"/>
                <w:szCs w:val="1"/>
                <w:color w:val="auto"/>
              </w:rPr>
            </w:pPr>
          </w:p>
        </w:tc>
      </w:tr>
      <w:tr>
        <w:trPr>
          <w:trHeight w:val="20"/>
        </w:trPr>
        <w:tc>
          <w:tcPr>
            <w:tcW w:w="47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10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Amounts reclassified out of AOCI</w:t>
            </w: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other comprehensive income (loss)</w:t>
            </w:r>
          </w:p>
        </w:tc>
        <w:tc>
          <w:tcPr>
            <w:tcW w:w="10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June 30, 2025</w:t>
            </w: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(48)</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(48)</w:t>
            </w:r>
          </w:p>
        </w:tc>
        <w:tc>
          <w:tcPr>
            <w:tcW w:w="3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4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0"/>
        </w:trPr>
        <w:tc>
          <w:tcPr>
            <w:tcW w:w="47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10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6"/>
                <w:szCs w:val="16"/>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05"/>
        </w:trPr>
        <w:tc>
          <w:tcPr>
            <w:tcW w:w="476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Amounts reclassified out of AOCI</w:t>
            </w:r>
          </w:p>
        </w:tc>
        <w:tc>
          <w:tcPr>
            <w:tcW w:w="1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other comprehensive income (loss)</w:t>
            </w:r>
          </w:p>
        </w:tc>
        <w:tc>
          <w:tcPr>
            <w:tcW w:w="10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September 30, 2025</w:t>
            </w: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(71)</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(48)</w:t>
            </w:r>
          </w:p>
        </w:tc>
        <w:tc>
          <w:tcPr>
            <w:tcW w:w="3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4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0"/>
        </w:trPr>
        <w:tc>
          <w:tcPr>
            <w:tcW w:w="47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-1430655</wp:posOffset>
            </wp:positionV>
            <wp:extent cx="603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-1430655</wp:posOffset>
            </wp:positionV>
            <wp:extent cx="603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-1430655</wp:posOffset>
            </wp:positionV>
            <wp:extent cx="5969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-1430655</wp:posOffset>
            </wp:positionV>
            <wp:extent cx="6032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-1430655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-1156970</wp:posOffset>
            </wp:positionV>
            <wp:extent cx="6032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-1139825</wp:posOffset>
            </wp:positionV>
            <wp:extent cx="6032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-1156970</wp:posOffset>
            </wp:positionV>
            <wp:extent cx="6032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-1139825</wp:posOffset>
            </wp:positionV>
            <wp:extent cx="6032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-1156970</wp:posOffset>
            </wp:positionV>
            <wp:extent cx="596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-1139825</wp:posOffset>
            </wp:positionV>
            <wp:extent cx="5969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-1156970</wp:posOffset>
            </wp:positionV>
            <wp:extent cx="6032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-1139825</wp:posOffset>
            </wp:positionV>
            <wp:extent cx="6032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-1156970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-1139825</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-864870</wp:posOffset>
            </wp:positionV>
            <wp:extent cx="6032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-864870</wp:posOffset>
            </wp:positionV>
            <wp:extent cx="6032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-864870</wp:posOffset>
            </wp:positionV>
            <wp:extent cx="596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-864870</wp:posOffset>
            </wp:positionV>
            <wp:extent cx="603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-591185</wp:posOffset>
            </wp:positionV>
            <wp:extent cx="6032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-574040</wp:posOffset>
            </wp:positionV>
            <wp:extent cx="6032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-591185</wp:posOffset>
            </wp:positionV>
            <wp:extent cx="603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-574040</wp:posOffset>
            </wp:positionV>
            <wp:extent cx="6032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-591185</wp:posOffset>
            </wp:positionV>
            <wp:extent cx="596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-574040</wp:posOffset>
            </wp:positionV>
            <wp:extent cx="5969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-591185</wp:posOffset>
            </wp:positionV>
            <wp:extent cx="6032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-574040</wp:posOffset>
            </wp:positionV>
            <wp:extent cx="6032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-574040</wp:posOffset>
            </wp:positionV>
            <wp:extent cx="685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-299720</wp:posOffset>
            </wp:positionV>
            <wp:extent cx="6032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-299720</wp:posOffset>
            </wp:positionV>
            <wp:extent cx="6032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-299720</wp:posOffset>
            </wp:positionV>
            <wp:extent cx="5969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-299720</wp:posOffset>
            </wp:positionV>
            <wp:extent cx="6032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-25400</wp:posOffset>
            </wp:positionV>
            <wp:extent cx="6032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-7620</wp:posOffset>
            </wp:positionV>
            <wp:extent cx="6032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-25400</wp:posOffset>
            </wp:positionV>
            <wp:extent cx="6032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-7620</wp:posOffset>
            </wp:positionV>
            <wp:extent cx="6032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-25400</wp:posOffset>
            </wp:positionV>
            <wp:extent cx="596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-7620</wp:posOffset>
            </wp:positionV>
            <wp:extent cx="5969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-25400</wp:posOffset>
            </wp:positionV>
            <wp:extent cx="6032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-7620</wp:posOffset>
            </wp:positionV>
            <wp:extent cx="6032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ind w:left="760" w:right="5720" w:hanging="752"/>
        <w:spacing w:after="0" w:line="503" w:lineRule="auto"/>
        <w:tabs>
          <w:tab w:leader="none" w:pos="7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Business Segment, Geographic Area and Product Information </w:t>
      </w:r>
      <w:r>
        <w:rPr>
          <w:rFonts w:ascii="Times New Roman" w:cs="Times New Roman" w:eastAsia="Times New Roman" w:hAnsi="Times New Roman"/>
          <w:sz w:val="18"/>
          <w:szCs w:val="18"/>
          <w:u w:val="single" w:color="auto"/>
          <w:color w:val="auto"/>
        </w:rPr>
        <w:t>Reportable Segments and Products</w:t>
      </w:r>
    </w:p>
    <w:p>
      <w:pPr>
        <w:ind w:left="760"/>
        <w:spacing w:after="0" w:line="27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Company’s Chief Operating Decision Maker (the “CODM”), which is the Company’s Chief Executive Officer, utilizes financial information to make decisions about allocating resources and assessing performance for the entire Company, which is used in the decision-making process to assess performance. The Company has a diverse base of customers across its three end markets, semiconductor, electronics and packaging, and specialty industrial. Segment gross margin is the primary measure used by the CODM to assess segment performance and allocate resources. Gross margin, among other measures, is utilized when making decisions about capital and personnel allocations across segments.</w:t>
      </w:r>
    </w:p>
    <w:p>
      <w:pPr>
        <w:spacing w:after="0" w:line="59" w:lineRule="exact"/>
        <w:rPr>
          <w:rFonts w:ascii="Times New Roman" w:cs="Times New Roman" w:eastAsia="Times New Roman" w:hAnsi="Times New Roman"/>
          <w:sz w:val="18"/>
          <w:szCs w:val="18"/>
          <w:b w:val="1"/>
          <w:bCs w:val="1"/>
          <w:color w:val="auto"/>
        </w:rPr>
      </w:pP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three reportable segments, VSD, PSD and MSD as described below.</w:t>
      </w:r>
    </w:p>
    <w:p>
      <w:pPr>
        <w:spacing w:after="0" w:line="117" w:lineRule="exact"/>
        <w:rPr>
          <w:rFonts w:ascii="Times New Roman" w:cs="Times New Roman" w:eastAsia="Times New Roman" w:hAnsi="Times New Roman"/>
          <w:sz w:val="18"/>
          <w:szCs w:val="18"/>
          <w:b w:val="1"/>
          <w:bCs w:val="1"/>
          <w:color w:val="auto"/>
        </w:rPr>
      </w:pPr>
    </w:p>
    <w:p>
      <w:pPr>
        <w:ind w:left="760" w:right="1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VSD delivers foundational technology solutions for semiconductor manufacturing, electronics and packaging, and specialty industrial applications. VSD products are derived from the Company’s core competencies in vacuum technologies, including pressure measurement and control, flow measurement and control, gas and vapor delivery, gas composition analysis, electronic control technology, reactive gas generation and delivery, power generation and delivery, and fiber optic temperature and position sensing.</w:t>
      </w:r>
    </w:p>
    <w:p>
      <w:pPr>
        <w:spacing w:after="0" w:line="71" w:lineRule="exact"/>
        <w:rPr>
          <w:rFonts w:ascii="Times New Roman" w:cs="Times New Roman" w:eastAsia="Times New Roman" w:hAnsi="Times New Roman"/>
          <w:sz w:val="18"/>
          <w:szCs w:val="18"/>
          <w:b w:val="1"/>
          <w:bCs w:val="1"/>
          <w:color w:val="auto"/>
        </w:rPr>
      </w:pPr>
    </w:p>
    <w:p>
      <w:pPr>
        <w:ind w:left="760" w:right="2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PSD provides a broad range of instruments, components and subsystems to leading edge semiconductor manufacturing, electronics and packaging and specialty industrial applications. PSD products are derived from the Company’s core competencies in lasers, photonics, optics, precision motion control and vibration control.</w:t>
      </w:r>
    </w:p>
    <w:p>
      <w:pPr>
        <w:spacing w:after="0" w:line="67" w:lineRule="exact"/>
        <w:rPr>
          <w:rFonts w:ascii="Times New Roman" w:cs="Times New Roman" w:eastAsia="Times New Roman" w:hAnsi="Times New Roman"/>
          <w:sz w:val="18"/>
          <w:szCs w:val="18"/>
          <w:b w:val="1"/>
          <w:bCs w:val="1"/>
          <w:color w:val="auto"/>
        </w:rPr>
      </w:pPr>
    </w:p>
    <w:p>
      <w:pPr>
        <w:ind w:left="760" w:right="1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MSD develops leading process and manufacturing technologies for advanced surface modification, electroless and electrolytic plating, and surface finishing. Applying a comprehensive systems-and-solutions approach, MSD’s portfolio includes chemistry, equipment and services for innovative and high-technology applications in the electronics and packaging and specialty industrial markets.</w:t>
      </w:r>
    </w:p>
    <w:p>
      <w:pPr>
        <w:spacing w:after="0" w:line="67" w:lineRule="exact"/>
        <w:rPr>
          <w:rFonts w:ascii="Times New Roman" w:cs="Times New Roman" w:eastAsia="Times New Roman" w:hAnsi="Times New Roman"/>
          <w:sz w:val="18"/>
          <w:szCs w:val="18"/>
          <w:b w:val="1"/>
          <w:bCs w:val="1"/>
          <w:color w:val="auto"/>
        </w:rPr>
      </w:pPr>
    </w:p>
    <w:p>
      <w:pPr>
        <w:ind w:left="760" w:right="2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derives its segment results directly from the manner in which results are reported in its management reporting system. The Company groups its product offerings by its reportable segments, VSD, PSD, and MSD. For each reportable segment, the Company also provides services relating to the maintenance and repair of its products, sales of spare parts, installation and training. Unallocated corporate expenses represent those costs not specifically related to the operations of each segment and are managed separately at the corporate level and primarily relate to labor costs of global functions, such as supply chain, operations and real estate.</w:t>
      </w:r>
    </w:p>
    <w:p>
      <w:pPr>
        <w:spacing w:after="0" w:line="75" w:lineRule="exact"/>
        <w:rPr>
          <w:rFonts w:ascii="Times New Roman" w:cs="Times New Roman" w:eastAsia="Times New Roman" w:hAnsi="Times New Roman"/>
          <w:sz w:val="18"/>
          <w:szCs w:val="18"/>
          <w:b w:val="1"/>
          <w:bCs w:val="1"/>
          <w:color w:val="auto"/>
        </w:rPr>
      </w:pP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set forth the details of gross profit by reportable segment and the reconciliation to income before income taxes: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color w:val="auto"/>
        </w:rPr>
        <w:t>MKS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7"/>
          </w:tcPr>
          <w:p>
            <w:pPr>
              <w:jc w:val="right"/>
              <w:ind w:right="280"/>
              <w:spacing w:after="0"/>
              <w:rPr>
                <w:sz w:val="20"/>
                <w:szCs w:val="20"/>
                <w:color w:val="auto"/>
              </w:rPr>
            </w:pPr>
            <w:r>
              <w:rPr>
                <w:rFonts w:ascii="Times New Roman" w:cs="Times New Roman" w:eastAsia="Times New Roman" w:hAnsi="Times New Roman"/>
                <w:sz w:val="14"/>
                <w:szCs w:val="14"/>
                <w:color w:val="auto"/>
              </w:rPr>
              <w:t>Three Months Ended September 30, 2026</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80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VSD</w:t>
            </w:r>
          </w:p>
        </w:tc>
        <w:tc>
          <w:tcPr>
            <w:tcW w:w="3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color w:val="auto"/>
              </w:rPr>
              <w:t>PSD</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color w:val="auto"/>
              </w:rPr>
              <w:t>MSD</w:t>
            </w:r>
          </w:p>
        </w:tc>
        <w:tc>
          <w:tcPr>
            <w:tcW w:w="2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80" w:type="dxa"/>
            <w:vAlign w:val="bottom"/>
          </w:tcPr>
          <w:p>
            <w:pPr>
              <w:spacing w:after="0"/>
              <w:rPr>
                <w:sz w:val="12"/>
                <w:szCs w:val="12"/>
                <w:color w:val="auto"/>
              </w:rPr>
            </w:pPr>
          </w:p>
        </w:tc>
      </w:tr>
      <w:tr>
        <w:trPr>
          <w:trHeight w:val="209"/>
        </w:trPr>
        <w:tc>
          <w:tcPr>
            <w:tcW w:w="800" w:type="dxa"/>
            <w:vAlign w:val="bottom"/>
          </w:tcPr>
          <w:p>
            <w:pPr>
              <w:spacing w:after="0"/>
              <w:rPr>
                <w:sz w:val="18"/>
                <w:szCs w:val="18"/>
                <w:color w:val="auto"/>
              </w:rPr>
            </w:pPr>
          </w:p>
        </w:tc>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w:t>
            </w:r>
          </w:p>
        </w:tc>
        <w:tc>
          <w:tcPr>
            <w:tcW w:w="720" w:type="dxa"/>
            <w:vAlign w:val="bottom"/>
            <w:shd w:val="clear" w:color="auto" w:fill="CFF0FC"/>
          </w:tcPr>
          <w:p>
            <w:pPr>
              <w:jc w:val="right"/>
              <w:ind w:right="56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80" w:type="dxa"/>
            <w:vAlign w:val="bottom"/>
            <w:shd w:val="clear" w:color="auto" w:fill="CFF0FC"/>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Services</w:t>
            </w:r>
          </w:p>
        </w:tc>
        <w:tc>
          <w:tcPr>
            <w:tcW w:w="7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80" w:type="dxa"/>
            <w:vAlign w:val="bottom"/>
          </w:tcPr>
          <w:p>
            <w:pPr>
              <w:spacing w:after="0"/>
              <w:rPr>
                <w:sz w:val="18"/>
                <w:szCs w:val="18"/>
                <w:color w:val="auto"/>
              </w:rPr>
            </w:pPr>
          </w:p>
        </w:tc>
      </w:tr>
      <w:tr>
        <w:trPr>
          <w:trHeight w:val="250"/>
        </w:trPr>
        <w:tc>
          <w:tcPr>
            <w:tcW w:w="800" w:type="dxa"/>
            <w:vAlign w:val="bottom"/>
          </w:tcPr>
          <w:p>
            <w:pPr>
              <w:spacing w:after="0"/>
              <w:rPr>
                <w:sz w:val="21"/>
                <w:szCs w:val="21"/>
                <w:color w:val="auto"/>
              </w:rPr>
            </w:pPr>
          </w:p>
        </w:tc>
        <w:tc>
          <w:tcPr>
            <w:tcW w:w="4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 by segment</w:t>
            </w:r>
          </w:p>
        </w:tc>
        <w:tc>
          <w:tcPr>
            <w:tcW w:w="720" w:type="dxa"/>
            <w:vAlign w:val="bottom"/>
            <w:tcBorders>
              <w:bottom w:val="single" w:sz="8" w:color="auto"/>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2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80" w:type="dxa"/>
            <w:vAlign w:val="bottom"/>
            <w:tcBorders>
              <w:bottom w:val="single" w:sz="8" w:color="CFF0FC"/>
            </w:tcBorders>
            <w:shd w:val="clear" w:color="auto" w:fill="CFF0FC"/>
          </w:tcPr>
          <w:p>
            <w:pPr>
              <w:spacing w:after="0"/>
              <w:rPr>
                <w:sz w:val="21"/>
                <w:szCs w:val="21"/>
                <w:color w:val="auto"/>
              </w:rPr>
            </w:pPr>
          </w:p>
        </w:tc>
      </w:tr>
      <w:tr>
        <w:trPr>
          <w:trHeight w:val="158"/>
        </w:trPr>
        <w:tc>
          <w:tcPr>
            <w:tcW w:w="800" w:type="dxa"/>
            <w:vAlign w:val="bottom"/>
          </w:tcPr>
          <w:p>
            <w:pPr>
              <w:spacing w:after="0"/>
              <w:rPr>
                <w:sz w:val="13"/>
                <w:szCs w:val="13"/>
                <w:color w:val="auto"/>
              </w:rPr>
            </w:pPr>
          </w:p>
        </w:tc>
        <w:tc>
          <w:tcPr>
            <w:tcW w:w="4940" w:type="dxa"/>
            <w:vAlign w:val="bottom"/>
          </w:tcPr>
          <w:p>
            <w:pPr>
              <w:spacing w:after="0" w:line="158" w:lineRule="exact"/>
              <w:rPr>
                <w:sz w:val="20"/>
                <w:szCs w:val="20"/>
                <w:color w:val="auto"/>
              </w:rPr>
            </w:pPr>
            <w:r>
              <w:rPr>
                <w:rFonts w:ascii="Times New Roman" w:cs="Times New Roman" w:eastAsia="Times New Roman" w:hAnsi="Times New Roman"/>
                <w:sz w:val="18"/>
                <w:szCs w:val="18"/>
                <w:color w:val="auto"/>
              </w:rPr>
              <w:t>Total cost of revenues (exclusive of amortization shown separately</w:t>
            </w: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41"/>
        </w:trPr>
        <w:tc>
          <w:tcPr>
            <w:tcW w:w="5740" w:type="dxa"/>
            <w:vAlign w:val="bottom"/>
            <w:gridSpan w:val="2"/>
          </w:tcPr>
          <w:p>
            <w:pPr>
              <w:ind w:left="800"/>
              <w:spacing w:after="0" w:line="241" w:lineRule="exact"/>
              <w:rPr>
                <w:sz w:val="20"/>
                <w:szCs w:val="20"/>
                <w:color w:val="auto"/>
              </w:rPr>
            </w:pPr>
            <w:r>
              <w:rPr>
                <w:rFonts w:ascii="Times New Roman" w:cs="Times New Roman" w:eastAsia="Times New Roman" w:hAnsi="Times New Roman"/>
                <w:sz w:val="18"/>
                <w:szCs w:val="18"/>
                <w:color w:val="auto"/>
              </w:rPr>
              <w:t>below)</w:t>
            </w:r>
            <w:r>
              <w:rPr>
                <w:rFonts w:ascii="Times New Roman" w:cs="Times New Roman" w:eastAsia="Times New Roman" w:hAnsi="Times New Roman"/>
                <w:sz w:val="24"/>
                <w:szCs w:val="24"/>
                <w:color w:val="auto"/>
                <w:vertAlign w:val="superscript"/>
              </w:rPr>
              <w:t>(1)</w:t>
            </w:r>
          </w:p>
        </w:tc>
        <w:tc>
          <w:tcPr>
            <w:tcW w:w="7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80" w:type="dxa"/>
            <w:vAlign w:val="bottom"/>
          </w:tcPr>
          <w:p>
            <w:pPr>
              <w:spacing w:after="0"/>
              <w:rPr>
                <w:sz w:val="20"/>
                <w:szCs w:val="20"/>
                <w:color w:val="auto"/>
              </w:rPr>
            </w:pPr>
          </w:p>
        </w:tc>
      </w:tr>
      <w:tr>
        <w:trPr>
          <w:trHeight w:val="250"/>
        </w:trPr>
        <w:tc>
          <w:tcPr>
            <w:tcW w:w="800" w:type="dxa"/>
            <w:vAlign w:val="bottom"/>
          </w:tcPr>
          <w:p>
            <w:pPr>
              <w:spacing w:after="0"/>
              <w:rPr>
                <w:sz w:val="21"/>
                <w:szCs w:val="21"/>
                <w:color w:val="auto"/>
              </w:rPr>
            </w:pPr>
          </w:p>
        </w:tc>
        <w:tc>
          <w:tcPr>
            <w:tcW w:w="4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gross profit</w:t>
            </w:r>
          </w:p>
        </w:tc>
        <w:tc>
          <w:tcPr>
            <w:tcW w:w="720" w:type="dxa"/>
            <w:vAlign w:val="bottom"/>
            <w:tcBorders>
              <w:bottom w:val="single" w:sz="8" w:color="auto"/>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2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80" w:type="dxa"/>
            <w:vAlign w:val="bottom"/>
            <w:tcBorders>
              <w:bottom w:val="single" w:sz="8" w:color="CFF0FC"/>
            </w:tcBorders>
            <w:shd w:val="clear" w:color="auto" w:fill="CFF0FC"/>
          </w:tcPr>
          <w:p>
            <w:pPr>
              <w:spacing w:after="0"/>
              <w:rPr>
                <w:sz w:val="21"/>
                <w:szCs w:val="21"/>
                <w:color w:val="auto"/>
              </w:rPr>
            </w:pPr>
          </w:p>
        </w:tc>
      </w:tr>
      <w:tr>
        <w:trPr>
          <w:trHeight w:val="197"/>
        </w:trPr>
        <w:tc>
          <w:tcPr>
            <w:tcW w:w="800" w:type="dxa"/>
            <w:vAlign w:val="bottom"/>
          </w:tcPr>
          <w:p>
            <w:pPr>
              <w:spacing w:after="0"/>
              <w:rPr>
                <w:sz w:val="17"/>
                <w:szCs w:val="17"/>
                <w:color w:val="auto"/>
              </w:rPr>
            </w:pPr>
          </w:p>
        </w:tc>
        <w:tc>
          <w:tcPr>
            <w:tcW w:w="4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Segment gross profit percentage</w:t>
            </w:r>
          </w:p>
        </w:tc>
        <w:tc>
          <w:tcPr>
            <w:tcW w:w="720" w:type="dxa"/>
            <w:vAlign w:val="bottom"/>
          </w:tcPr>
          <w:p>
            <w:pPr>
              <w:spacing w:after="0"/>
              <w:rPr>
                <w:sz w:val="17"/>
                <w:szCs w:val="17"/>
                <w:color w:val="auto"/>
              </w:rPr>
            </w:pPr>
          </w:p>
        </w:tc>
        <w:tc>
          <w:tcPr>
            <w:tcW w:w="64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43.9%</w:t>
            </w:r>
          </w:p>
        </w:tc>
        <w:tc>
          <w:tcPr>
            <w:tcW w:w="260" w:type="dxa"/>
            <w:vAlign w:val="bottom"/>
          </w:tcPr>
          <w:p>
            <w:pPr>
              <w:spacing w:after="0"/>
              <w:rPr>
                <w:sz w:val="17"/>
                <w:szCs w:val="17"/>
                <w:color w:val="auto"/>
              </w:rPr>
            </w:pPr>
          </w:p>
        </w:tc>
        <w:tc>
          <w:tcPr>
            <w:tcW w:w="108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51.7%</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50.2%</w:t>
            </w:r>
          </w:p>
        </w:tc>
        <w:tc>
          <w:tcPr>
            <w:tcW w:w="260" w:type="dxa"/>
            <w:vAlign w:val="bottom"/>
          </w:tcPr>
          <w:p>
            <w:pPr>
              <w:spacing w:after="0"/>
              <w:rPr>
                <w:sz w:val="17"/>
                <w:szCs w:val="17"/>
                <w:color w:val="auto"/>
              </w:rPr>
            </w:pPr>
          </w:p>
        </w:tc>
        <w:tc>
          <w:tcPr>
            <w:tcW w:w="11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48.0%</w:t>
            </w:r>
          </w:p>
        </w:tc>
      </w:tr>
      <w:tr>
        <w:trPr>
          <w:trHeight w:val="216"/>
        </w:trPr>
        <w:tc>
          <w:tcPr>
            <w:tcW w:w="800" w:type="dxa"/>
            <w:vAlign w:val="bottom"/>
          </w:tcPr>
          <w:p>
            <w:pPr>
              <w:spacing w:after="0"/>
              <w:rPr>
                <w:sz w:val="18"/>
                <w:szCs w:val="18"/>
                <w:color w:val="auto"/>
              </w:rPr>
            </w:pPr>
          </w:p>
        </w:tc>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Reconciliation to income before income taxes</w:t>
            </w:r>
          </w:p>
        </w:tc>
        <w:tc>
          <w:tcPr>
            <w:tcW w:w="7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shd w:val="clear" w:color="auto" w:fill="CFF0FC"/>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Restructuring and other</w:t>
            </w:r>
          </w:p>
        </w:tc>
        <w:tc>
          <w:tcPr>
            <w:tcW w:w="7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FF0FC"/>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9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7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09"/>
        </w:trPr>
        <w:tc>
          <w:tcPr>
            <w:tcW w:w="80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7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00" w:type="dxa"/>
            <w:vAlign w:val="bottom"/>
          </w:tcPr>
          <w:p>
            <w:pPr>
              <w:spacing w:after="0"/>
              <w:rPr>
                <w:sz w:val="18"/>
                <w:szCs w:val="18"/>
                <w:color w:val="auto"/>
              </w:rPr>
            </w:pPr>
          </w:p>
        </w:tc>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7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FF0FC"/>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r>
      <w:tr>
        <w:trPr>
          <w:trHeight w:val="249"/>
        </w:trPr>
        <w:tc>
          <w:tcPr>
            <w:tcW w:w="800" w:type="dxa"/>
            <w:vAlign w:val="bottom"/>
          </w:tcPr>
          <w:p>
            <w:pPr>
              <w:spacing w:after="0"/>
              <w:rPr>
                <w:sz w:val="21"/>
                <w:szCs w:val="21"/>
                <w:color w:val="auto"/>
              </w:rPr>
            </w:pPr>
          </w:p>
        </w:tc>
        <w:tc>
          <w:tcPr>
            <w:tcW w:w="49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7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80" w:type="dxa"/>
            <w:vAlign w:val="bottom"/>
            <w:tcBorders>
              <w:bottom w:val="single" w:sz="8" w:color="CFF0FC"/>
            </w:tcBorders>
            <w:shd w:val="clear" w:color="auto" w:fill="CFF0FC"/>
          </w:tcPr>
          <w:p>
            <w:pPr>
              <w:spacing w:after="0"/>
              <w:rPr>
                <w:sz w:val="21"/>
                <w:szCs w:val="21"/>
                <w:color w:val="auto"/>
              </w:rPr>
            </w:pPr>
          </w:p>
        </w:tc>
      </w:tr>
      <w:tr>
        <w:trPr>
          <w:trHeight w:val="453"/>
        </w:trPr>
        <w:tc>
          <w:tcPr>
            <w:tcW w:w="80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7"/>
          </w:tcPr>
          <w:p>
            <w:pPr>
              <w:jc w:val="right"/>
              <w:ind w:right="280"/>
              <w:spacing w:after="0"/>
              <w:rPr>
                <w:sz w:val="20"/>
                <w:szCs w:val="20"/>
                <w:color w:val="auto"/>
              </w:rPr>
            </w:pPr>
            <w:r>
              <w:rPr>
                <w:rFonts w:ascii="Times New Roman" w:cs="Times New Roman" w:eastAsia="Times New Roman" w:hAnsi="Times New Roman"/>
                <w:sz w:val="14"/>
                <w:szCs w:val="14"/>
                <w:color w:val="auto"/>
              </w:rPr>
              <w:t>Three Months Ended September 30, 2025</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42"/>
        </w:trPr>
        <w:tc>
          <w:tcPr>
            <w:tcW w:w="80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VSD</w:t>
            </w:r>
          </w:p>
        </w:tc>
        <w:tc>
          <w:tcPr>
            <w:tcW w:w="3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color w:val="auto"/>
              </w:rPr>
              <w:t>PSD</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color w:val="auto"/>
              </w:rPr>
              <w:t>MSD</w:t>
            </w:r>
          </w:p>
        </w:tc>
        <w:tc>
          <w:tcPr>
            <w:tcW w:w="2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80" w:type="dxa"/>
            <w:vAlign w:val="bottom"/>
          </w:tcPr>
          <w:p>
            <w:pPr>
              <w:spacing w:after="0"/>
              <w:rPr>
                <w:sz w:val="12"/>
                <w:szCs w:val="12"/>
                <w:color w:val="auto"/>
              </w:rPr>
            </w:pPr>
          </w:p>
        </w:tc>
      </w:tr>
      <w:tr>
        <w:trPr>
          <w:trHeight w:val="209"/>
        </w:trPr>
        <w:tc>
          <w:tcPr>
            <w:tcW w:w="800" w:type="dxa"/>
            <w:vAlign w:val="bottom"/>
          </w:tcPr>
          <w:p>
            <w:pPr>
              <w:spacing w:after="0"/>
              <w:rPr>
                <w:sz w:val="18"/>
                <w:szCs w:val="18"/>
                <w:color w:val="auto"/>
              </w:rPr>
            </w:pPr>
          </w:p>
        </w:tc>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w:t>
            </w:r>
          </w:p>
        </w:tc>
        <w:tc>
          <w:tcPr>
            <w:tcW w:w="720" w:type="dxa"/>
            <w:vAlign w:val="bottom"/>
            <w:shd w:val="clear" w:color="auto" w:fill="CFF0FC"/>
          </w:tcPr>
          <w:p>
            <w:pPr>
              <w:jc w:val="right"/>
              <w:ind w:right="56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80" w:type="dxa"/>
            <w:vAlign w:val="bottom"/>
            <w:shd w:val="clear" w:color="auto" w:fill="CFF0FC"/>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Services</w:t>
            </w:r>
          </w:p>
        </w:tc>
        <w:tc>
          <w:tcPr>
            <w:tcW w:w="7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80" w:type="dxa"/>
            <w:vAlign w:val="bottom"/>
          </w:tcPr>
          <w:p>
            <w:pPr>
              <w:spacing w:after="0"/>
              <w:rPr>
                <w:sz w:val="18"/>
                <w:szCs w:val="18"/>
                <w:color w:val="auto"/>
              </w:rPr>
            </w:pPr>
          </w:p>
        </w:tc>
      </w:tr>
      <w:tr>
        <w:trPr>
          <w:trHeight w:val="249"/>
        </w:trPr>
        <w:tc>
          <w:tcPr>
            <w:tcW w:w="800" w:type="dxa"/>
            <w:vAlign w:val="bottom"/>
          </w:tcPr>
          <w:p>
            <w:pPr>
              <w:spacing w:after="0"/>
              <w:rPr>
                <w:sz w:val="21"/>
                <w:szCs w:val="21"/>
                <w:color w:val="auto"/>
              </w:rPr>
            </w:pPr>
          </w:p>
        </w:tc>
        <w:tc>
          <w:tcPr>
            <w:tcW w:w="4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 by segment</w:t>
            </w:r>
          </w:p>
        </w:tc>
        <w:tc>
          <w:tcPr>
            <w:tcW w:w="720" w:type="dxa"/>
            <w:vAlign w:val="bottom"/>
            <w:tcBorders>
              <w:bottom w:val="single" w:sz="8" w:color="auto"/>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2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80" w:type="dxa"/>
            <w:vAlign w:val="bottom"/>
            <w:tcBorders>
              <w:bottom w:val="single" w:sz="8" w:color="CFF0FC"/>
            </w:tcBorders>
            <w:shd w:val="clear" w:color="auto" w:fill="CFF0FC"/>
          </w:tcPr>
          <w:p>
            <w:pPr>
              <w:spacing w:after="0"/>
              <w:rPr>
                <w:sz w:val="21"/>
                <w:szCs w:val="21"/>
                <w:color w:val="auto"/>
              </w:rPr>
            </w:pPr>
          </w:p>
        </w:tc>
      </w:tr>
      <w:tr>
        <w:trPr>
          <w:trHeight w:val="158"/>
        </w:trPr>
        <w:tc>
          <w:tcPr>
            <w:tcW w:w="800" w:type="dxa"/>
            <w:vAlign w:val="bottom"/>
          </w:tcPr>
          <w:p>
            <w:pPr>
              <w:spacing w:after="0"/>
              <w:rPr>
                <w:sz w:val="13"/>
                <w:szCs w:val="13"/>
                <w:color w:val="auto"/>
              </w:rPr>
            </w:pPr>
          </w:p>
        </w:tc>
        <w:tc>
          <w:tcPr>
            <w:tcW w:w="4940" w:type="dxa"/>
            <w:vAlign w:val="bottom"/>
          </w:tcPr>
          <w:p>
            <w:pPr>
              <w:spacing w:after="0" w:line="158" w:lineRule="exact"/>
              <w:rPr>
                <w:sz w:val="20"/>
                <w:szCs w:val="20"/>
                <w:color w:val="auto"/>
              </w:rPr>
            </w:pPr>
            <w:r>
              <w:rPr>
                <w:rFonts w:ascii="Times New Roman" w:cs="Times New Roman" w:eastAsia="Times New Roman" w:hAnsi="Times New Roman"/>
                <w:sz w:val="18"/>
                <w:szCs w:val="18"/>
                <w:color w:val="auto"/>
              </w:rPr>
              <w:t>Total cost of revenues (exclusive of amortization shown separately</w:t>
            </w: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41"/>
        </w:trPr>
        <w:tc>
          <w:tcPr>
            <w:tcW w:w="5740" w:type="dxa"/>
            <w:vAlign w:val="bottom"/>
            <w:gridSpan w:val="2"/>
          </w:tcPr>
          <w:p>
            <w:pPr>
              <w:ind w:left="800"/>
              <w:spacing w:after="0" w:line="241" w:lineRule="exact"/>
              <w:rPr>
                <w:sz w:val="20"/>
                <w:szCs w:val="20"/>
                <w:color w:val="auto"/>
              </w:rPr>
            </w:pPr>
            <w:r>
              <w:rPr>
                <w:rFonts w:ascii="Times New Roman" w:cs="Times New Roman" w:eastAsia="Times New Roman" w:hAnsi="Times New Roman"/>
                <w:sz w:val="18"/>
                <w:szCs w:val="18"/>
                <w:color w:val="auto"/>
              </w:rPr>
              <w:t>below)</w:t>
            </w:r>
            <w:r>
              <w:rPr>
                <w:rFonts w:ascii="Times New Roman" w:cs="Times New Roman" w:eastAsia="Times New Roman" w:hAnsi="Times New Roman"/>
                <w:sz w:val="24"/>
                <w:szCs w:val="24"/>
                <w:color w:val="auto"/>
                <w:vertAlign w:val="superscript"/>
              </w:rPr>
              <w:t>(1)</w:t>
            </w:r>
          </w:p>
        </w:tc>
        <w:tc>
          <w:tcPr>
            <w:tcW w:w="7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80" w:type="dxa"/>
            <w:vAlign w:val="bottom"/>
          </w:tcPr>
          <w:p>
            <w:pPr>
              <w:spacing w:after="0"/>
              <w:rPr>
                <w:sz w:val="20"/>
                <w:szCs w:val="20"/>
                <w:color w:val="auto"/>
              </w:rPr>
            </w:pPr>
          </w:p>
        </w:tc>
      </w:tr>
      <w:tr>
        <w:trPr>
          <w:trHeight w:val="250"/>
        </w:trPr>
        <w:tc>
          <w:tcPr>
            <w:tcW w:w="800" w:type="dxa"/>
            <w:vAlign w:val="bottom"/>
          </w:tcPr>
          <w:p>
            <w:pPr>
              <w:spacing w:after="0"/>
              <w:rPr>
                <w:sz w:val="21"/>
                <w:szCs w:val="21"/>
                <w:color w:val="auto"/>
              </w:rPr>
            </w:pPr>
          </w:p>
        </w:tc>
        <w:tc>
          <w:tcPr>
            <w:tcW w:w="4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gross profit</w:t>
            </w:r>
          </w:p>
        </w:tc>
        <w:tc>
          <w:tcPr>
            <w:tcW w:w="720" w:type="dxa"/>
            <w:vAlign w:val="bottom"/>
            <w:tcBorders>
              <w:bottom w:val="single" w:sz="8" w:color="auto"/>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80" w:type="dxa"/>
            <w:vAlign w:val="bottom"/>
            <w:tcBorders>
              <w:bottom w:val="single" w:sz="8" w:color="CFF0FC"/>
            </w:tcBorders>
            <w:shd w:val="clear" w:color="auto" w:fill="CFF0FC"/>
          </w:tcPr>
          <w:p>
            <w:pPr>
              <w:spacing w:after="0"/>
              <w:rPr>
                <w:sz w:val="21"/>
                <w:szCs w:val="21"/>
                <w:color w:val="auto"/>
              </w:rPr>
            </w:pPr>
          </w:p>
        </w:tc>
      </w:tr>
      <w:tr>
        <w:trPr>
          <w:trHeight w:val="196"/>
        </w:trPr>
        <w:tc>
          <w:tcPr>
            <w:tcW w:w="800" w:type="dxa"/>
            <w:vAlign w:val="bottom"/>
          </w:tcPr>
          <w:p>
            <w:pPr>
              <w:spacing w:after="0"/>
              <w:rPr>
                <w:sz w:val="17"/>
                <w:szCs w:val="17"/>
                <w:color w:val="auto"/>
              </w:rPr>
            </w:pPr>
          </w:p>
        </w:tc>
        <w:tc>
          <w:tcPr>
            <w:tcW w:w="4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Segment gross profit percentage</w:t>
            </w:r>
          </w:p>
        </w:tc>
        <w:tc>
          <w:tcPr>
            <w:tcW w:w="720" w:type="dxa"/>
            <w:vAlign w:val="bottom"/>
          </w:tcPr>
          <w:p>
            <w:pPr>
              <w:spacing w:after="0"/>
              <w:rPr>
                <w:sz w:val="17"/>
                <w:szCs w:val="17"/>
                <w:color w:val="auto"/>
              </w:rPr>
            </w:pPr>
          </w:p>
        </w:tc>
        <w:tc>
          <w:tcPr>
            <w:tcW w:w="64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42.2%</w:t>
            </w:r>
          </w:p>
        </w:tc>
        <w:tc>
          <w:tcPr>
            <w:tcW w:w="260" w:type="dxa"/>
            <w:vAlign w:val="bottom"/>
          </w:tcPr>
          <w:p>
            <w:pPr>
              <w:spacing w:after="0"/>
              <w:rPr>
                <w:sz w:val="17"/>
                <w:szCs w:val="17"/>
                <w:color w:val="auto"/>
              </w:rPr>
            </w:pPr>
          </w:p>
        </w:tc>
        <w:tc>
          <w:tcPr>
            <w:tcW w:w="108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43.7%</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54.6%</w:t>
            </w:r>
          </w:p>
        </w:tc>
        <w:tc>
          <w:tcPr>
            <w:tcW w:w="260" w:type="dxa"/>
            <w:vAlign w:val="bottom"/>
          </w:tcPr>
          <w:p>
            <w:pPr>
              <w:spacing w:after="0"/>
              <w:rPr>
                <w:sz w:val="17"/>
                <w:szCs w:val="17"/>
                <w:color w:val="auto"/>
              </w:rPr>
            </w:pPr>
          </w:p>
        </w:tc>
        <w:tc>
          <w:tcPr>
            <w:tcW w:w="11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46.6%</w:t>
            </w:r>
          </w:p>
        </w:tc>
      </w:tr>
      <w:tr>
        <w:trPr>
          <w:trHeight w:val="216"/>
        </w:trPr>
        <w:tc>
          <w:tcPr>
            <w:tcW w:w="800" w:type="dxa"/>
            <w:vAlign w:val="bottom"/>
          </w:tcPr>
          <w:p>
            <w:pPr>
              <w:spacing w:after="0"/>
              <w:rPr>
                <w:sz w:val="18"/>
                <w:szCs w:val="18"/>
                <w:color w:val="auto"/>
              </w:rPr>
            </w:pPr>
          </w:p>
        </w:tc>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Reconciliation to income before income taxes</w:t>
            </w:r>
          </w:p>
        </w:tc>
        <w:tc>
          <w:tcPr>
            <w:tcW w:w="7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shd w:val="clear" w:color="auto" w:fill="CFF0FC"/>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Restructuring and other</w:t>
            </w:r>
          </w:p>
        </w:tc>
        <w:tc>
          <w:tcPr>
            <w:tcW w:w="7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FF0FC"/>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9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7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10"/>
        </w:trPr>
        <w:tc>
          <w:tcPr>
            <w:tcW w:w="80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7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00" w:type="dxa"/>
            <w:vAlign w:val="bottom"/>
          </w:tcPr>
          <w:p>
            <w:pPr>
              <w:spacing w:after="0"/>
              <w:rPr>
                <w:sz w:val="18"/>
                <w:szCs w:val="18"/>
                <w:color w:val="auto"/>
              </w:rPr>
            </w:pPr>
          </w:p>
        </w:tc>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7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r>
      <w:tr>
        <w:trPr>
          <w:trHeight w:val="250"/>
        </w:trPr>
        <w:tc>
          <w:tcPr>
            <w:tcW w:w="800" w:type="dxa"/>
            <w:vAlign w:val="bottom"/>
          </w:tcPr>
          <w:p>
            <w:pPr>
              <w:spacing w:after="0"/>
              <w:rPr>
                <w:sz w:val="21"/>
                <w:szCs w:val="21"/>
                <w:color w:val="auto"/>
              </w:rPr>
            </w:pPr>
          </w:p>
        </w:tc>
        <w:tc>
          <w:tcPr>
            <w:tcW w:w="49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7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tcBorders>
              <w:bottom w:val="single" w:sz="8" w:color="CFF0FC"/>
            </w:tcBorders>
            <w:shd w:val="clear" w:color="auto" w:fill="CFF0FC"/>
          </w:tcPr>
          <w:p>
            <w:pPr>
              <w:spacing w:after="0"/>
              <w:rPr>
                <w:sz w:val="21"/>
                <w:szCs w:val="21"/>
                <w:color w:val="auto"/>
              </w:rPr>
            </w:pPr>
          </w:p>
        </w:tc>
      </w:tr>
      <w:tr>
        <w:trPr>
          <w:trHeight w:val="588"/>
        </w:trPr>
        <w:tc>
          <w:tcPr>
            <w:tcW w:w="5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763"/>
        </w:trPr>
        <w:tc>
          <w:tcPr>
            <w:tcW w:w="80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-6565900</wp:posOffset>
            </wp:positionV>
            <wp:extent cx="11112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-6548755</wp:posOffset>
            </wp:positionV>
            <wp:extent cx="11112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-6565900</wp:posOffset>
            </wp:positionV>
            <wp:extent cx="11112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-6548755</wp:posOffset>
            </wp:positionV>
            <wp:extent cx="11112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-6565900</wp:posOffset>
            </wp:positionV>
            <wp:extent cx="11112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-6548755</wp:posOffset>
            </wp:positionV>
            <wp:extent cx="11112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-6565900</wp:posOffset>
            </wp:positionV>
            <wp:extent cx="11176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-6548755</wp:posOffset>
            </wp:positionV>
            <wp:extent cx="11176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-6128385</wp:posOffset>
            </wp:positionV>
            <wp:extent cx="11112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-6111240</wp:posOffset>
            </wp:positionV>
            <wp:extent cx="11112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-6128385</wp:posOffset>
            </wp:positionV>
            <wp:extent cx="11112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-6111240</wp:posOffset>
            </wp:positionV>
            <wp:extent cx="11112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-6128385</wp:posOffset>
            </wp:positionV>
            <wp:extent cx="11112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-6111240</wp:posOffset>
            </wp:positionV>
            <wp:extent cx="11112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-6128385</wp:posOffset>
            </wp:positionV>
            <wp:extent cx="11176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-6111240</wp:posOffset>
            </wp:positionV>
            <wp:extent cx="11176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-5005705</wp:posOffset>
            </wp:positionV>
            <wp:extent cx="11176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-4165600</wp:posOffset>
            </wp:positionV>
            <wp:extent cx="11176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-4148455</wp:posOffset>
            </wp:positionV>
            <wp:extent cx="11176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-3308350</wp:posOffset>
            </wp:positionV>
            <wp:extent cx="11112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-3291205</wp:posOffset>
            </wp:positionV>
            <wp:extent cx="11112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-3308350</wp:posOffset>
            </wp:positionV>
            <wp:extent cx="11112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-3291205</wp:posOffset>
            </wp:positionV>
            <wp:extent cx="11112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-3308350</wp:posOffset>
            </wp:positionV>
            <wp:extent cx="11112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-3291205</wp:posOffset>
            </wp:positionV>
            <wp:extent cx="11112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-3308350</wp:posOffset>
            </wp:positionV>
            <wp:extent cx="11176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-3291205</wp:posOffset>
            </wp:positionV>
            <wp:extent cx="11176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-2870835</wp:posOffset>
            </wp:positionV>
            <wp:extent cx="11112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-2853690</wp:posOffset>
            </wp:positionV>
            <wp:extent cx="11112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-2870835</wp:posOffset>
            </wp:positionV>
            <wp:extent cx="11112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-2853690</wp:posOffset>
            </wp:positionV>
            <wp:extent cx="11112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-2870835</wp:posOffset>
            </wp:positionV>
            <wp:extent cx="11112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-2853690</wp:posOffset>
            </wp:positionV>
            <wp:extent cx="11112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-2870835</wp:posOffset>
            </wp:positionV>
            <wp:extent cx="11176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-2853690</wp:posOffset>
            </wp:positionV>
            <wp:extent cx="11176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-1748155</wp:posOffset>
            </wp:positionV>
            <wp:extent cx="11176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-908050</wp:posOffset>
            </wp:positionV>
            <wp:extent cx="11176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-890905</wp:posOffset>
            </wp:positionV>
            <wp:extent cx="11176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7" w:name="page28"/>
    <w:bookmarkEnd w:id="27"/>
    <w:p>
      <w:pPr>
        <w:jc w:val="center"/>
        <w:ind w:right="730"/>
        <w:spacing w:after="0"/>
        <w:rPr>
          <w:sz w:val="20"/>
          <w:szCs w:val="20"/>
          <w:color w:val="auto"/>
        </w:rPr>
      </w:pPr>
      <w:r>
        <w:rPr>
          <w:rFonts w:ascii="Times New Roman" w:cs="Times New Roman" w:eastAsia="Times New Roman" w:hAnsi="Times New Roman"/>
          <w:sz w:val="18"/>
          <w:szCs w:val="18"/>
          <w:color w:val="auto"/>
        </w:rPr>
        <w:t>MKS INC.</w:t>
      </w:r>
    </w:p>
    <w:p>
      <w:pPr>
        <w:spacing w:after="0" w:line="27" w:lineRule="exact"/>
        <w:rPr>
          <w:sz w:val="20"/>
          <w:szCs w:val="20"/>
          <w:color w:val="auto"/>
        </w:rPr>
      </w:pPr>
    </w:p>
    <w:p>
      <w:pPr>
        <w:jc w:val="center"/>
        <w:ind w:right="730"/>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ind w:right="730"/>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171"/>
        </w:trPr>
        <w:tc>
          <w:tcPr>
            <w:tcW w:w="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4"/>
                <w:szCs w:val="14"/>
                <w:color w:val="auto"/>
              </w:rPr>
              <w:t>Nine Months Ended September 30, 2026</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ind w:right="480"/>
              <w:spacing w:after="0" w:line="142" w:lineRule="exact"/>
              <w:rPr>
                <w:sz w:val="20"/>
                <w:szCs w:val="20"/>
                <w:color w:val="auto"/>
              </w:rPr>
            </w:pPr>
            <w:r>
              <w:rPr>
                <w:rFonts w:ascii="Times New Roman" w:cs="Times New Roman" w:eastAsia="Times New Roman" w:hAnsi="Times New Roman"/>
                <w:sz w:val="14"/>
                <w:szCs w:val="14"/>
                <w:color w:val="auto"/>
              </w:rPr>
              <w:t>VSD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right"/>
              <w:ind w:right="500"/>
              <w:spacing w:after="0" w:line="142" w:lineRule="exact"/>
              <w:rPr>
                <w:sz w:val="20"/>
                <w:szCs w:val="20"/>
                <w:color w:val="auto"/>
              </w:rPr>
            </w:pPr>
            <w:r>
              <w:rPr>
                <w:rFonts w:ascii="Times New Roman" w:cs="Times New Roman" w:eastAsia="Times New Roman" w:hAnsi="Times New Roman"/>
                <w:sz w:val="14"/>
                <w:szCs w:val="14"/>
                <w:color w:val="auto"/>
              </w:rPr>
              <w:t>PSD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color w:val="auto"/>
              </w:rPr>
              <w:t>MSD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80" w:type="dxa"/>
            <w:vAlign w:val="bottom"/>
          </w:tcPr>
          <w:p>
            <w:pPr>
              <w:spacing w:after="0"/>
              <w:rPr>
                <w:sz w:val="12"/>
                <w:szCs w:val="12"/>
                <w:color w:val="auto"/>
              </w:rPr>
            </w:pPr>
          </w:p>
        </w:tc>
      </w:tr>
      <w:tr>
        <w:trPr>
          <w:trHeight w:val="210"/>
        </w:trPr>
        <w:tc>
          <w:tcPr>
            <w:tcW w:w="40" w:type="dxa"/>
            <w:vAlign w:val="bottom"/>
          </w:tcPr>
          <w:p>
            <w:pPr>
              <w:spacing w:after="0"/>
              <w:rPr>
                <w:sz w:val="18"/>
                <w:szCs w:val="18"/>
                <w:color w:val="auto"/>
              </w:rPr>
            </w:pPr>
          </w:p>
        </w:tc>
        <w:tc>
          <w:tcPr>
            <w:tcW w:w="4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1,259</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897</w:t>
            </w:r>
          </w:p>
        </w:tc>
        <w:tc>
          <w:tcPr>
            <w:tcW w:w="4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1,166</w:t>
            </w:r>
          </w:p>
        </w:tc>
        <w:tc>
          <w:tcPr>
            <w:tcW w:w="4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3,322</w:t>
            </w:r>
          </w:p>
        </w:tc>
        <w:tc>
          <w:tcPr>
            <w:tcW w:w="180" w:type="dxa"/>
            <w:vAlign w:val="bottom"/>
            <w:shd w:val="clear" w:color="auto" w:fill="CFF0FC"/>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Services</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80" w:type="dxa"/>
            <w:vAlign w:val="bottom"/>
          </w:tcPr>
          <w:p>
            <w:pPr>
              <w:spacing w:after="0"/>
              <w:rPr>
                <w:sz w:val="18"/>
                <w:szCs w:val="18"/>
                <w:color w:val="auto"/>
              </w:rPr>
            </w:pPr>
          </w:p>
        </w:tc>
      </w:tr>
      <w:tr>
        <w:trPr>
          <w:trHeight w:val="249"/>
        </w:trPr>
        <w:tc>
          <w:tcPr>
            <w:tcW w:w="40" w:type="dxa"/>
            <w:vAlign w:val="bottom"/>
          </w:tcPr>
          <w:p>
            <w:pPr>
              <w:spacing w:after="0"/>
              <w:rPr>
                <w:sz w:val="21"/>
                <w:szCs w:val="21"/>
                <w:color w:val="auto"/>
              </w:rPr>
            </w:pPr>
          </w:p>
        </w:tc>
        <w:tc>
          <w:tcPr>
            <w:tcW w:w="48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 by segment</w:t>
            </w:r>
          </w:p>
        </w:tc>
        <w:tc>
          <w:tcPr>
            <w:tcW w:w="2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1,509</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1,022</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1,208</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180" w:type="dxa"/>
            <w:vAlign w:val="bottom"/>
            <w:tcBorders>
              <w:bottom w:val="single" w:sz="8" w:color="CFF0FC"/>
            </w:tcBorders>
            <w:shd w:val="clear" w:color="auto" w:fill="CFF0FC"/>
          </w:tcPr>
          <w:p>
            <w:pPr>
              <w:spacing w:after="0"/>
              <w:rPr>
                <w:sz w:val="21"/>
                <w:szCs w:val="21"/>
                <w:color w:val="auto"/>
              </w:rPr>
            </w:pPr>
          </w:p>
        </w:tc>
      </w:tr>
      <w:tr>
        <w:trPr>
          <w:trHeight w:val="158"/>
        </w:trPr>
        <w:tc>
          <w:tcPr>
            <w:tcW w:w="40" w:type="dxa"/>
            <w:vAlign w:val="bottom"/>
          </w:tcPr>
          <w:p>
            <w:pPr>
              <w:spacing w:after="0"/>
              <w:rPr>
                <w:sz w:val="13"/>
                <w:szCs w:val="13"/>
                <w:color w:val="auto"/>
              </w:rPr>
            </w:pPr>
          </w:p>
        </w:tc>
        <w:tc>
          <w:tcPr>
            <w:tcW w:w="4880" w:type="dxa"/>
            <w:vAlign w:val="bottom"/>
            <w:gridSpan w:val="2"/>
          </w:tcPr>
          <w:p>
            <w:pPr>
              <w:spacing w:after="0" w:line="158" w:lineRule="exact"/>
              <w:rPr>
                <w:sz w:val="20"/>
                <w:szCs w:val="20"/>
                <w:color w:val="auto"/>
              </w:rPr>
            </w:pPr>
            <w:r>
              <w:rPr>
                <w:rFonts w:ascii="Times New Roman" w:cs="Times New Roman" w:eastAsia="Times New Roman" w:hAnsi="Times New Roman"/>
                <w:sz w:val="18"/>
                <w:szCs w:val="18"/>
                <w:color w:val="auto"/>
              </w:rPr>
              <w:t>Total cost of revenues (exclusive of amortization shown</w:t>
            </w: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41"/>
        </w:trPr>
        <w:tc>
          <w:tcPr>
            <w:tcW w:w="4920" w:type="dxa"/>
            <w:vAlign w:val="bottom"/>
            <w:gridSpan w:val="3"/>
          </w:tcPr>
          <w:p>
            <w:pPr>
              <w:ind w:left="40"/>
              <w:spacing w:after="0" w:line="241" w:lineRule="exact"/>
              <w:rPr>
                <w:sz w:val="20"/>
                <w:szCs w:val="20"/>
                <w:color w:val="auto"/>
              </w:rPr>
            </w:pPr>
            <w:r>
              <w:rPr>
                <w:rFonts w:ascii="Times New Roman" w:cs="Times New Roman" w:eastAsia="Times New Roman" w:hAnsi="Times New Roman"/>
                <w:sz w:val="18"/>
                <w:szCs w:val="18"/>
                <w:color w:val="auto"/>
              </w:rPr>
              <w:t>separately below)</w:t>
            </w:r>
            <w:r>
              <w:rPr>
                <w:rFonts w:ascii="Times New Roman" w:cs="Times New Roman" w:eastAsia="Times New Roman" w:hAnsi="Times New Roman"/>
                <w:sz w:val="24"/>
                <w:szCs w:val="24"/>
                <w:color w:val="auto"/>
                <w:vertAlign w:val="superscript"/>
              </w:rPr>
              <w:t>(1)</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180" w:type="dxa"/>
            <w:vAlign w:val="bottom"/>
          </w:tcPr>
          <w:p>
            <w:pPr>
              <w:spacing w:after="0"/>
              <w:rPr>
                <w:sz w:val="20"/>
                <w:szCs w:val="20"/>
                <w:color w:val="auto"/>
              </w:rPr>
            </w:pPr>
          </w:p>
        </w:tc>
      </w:tr>
      <w:tr>
        <w:trPr>
          <w:trHeight w:val="249"/>
        </w:trPr>
        <w:tc>
          <w:tcPr>
            <w:tcW w:w="40" w:type="dxa"/>
            <w:vAlign w:val="bottom"/>
          </w:tcPr>
          <w:p>
            <w:pPr>
              <w:spacing w:after="0"/>
              <w:rPr>
                <w:sz w:val="21"/>
                <w:szCs w:val="21"/>
                <w:color w:val="auto"/>
              </w:rPr>
            </w:pPr>
          </w:p>
        </w:tc>
        <w:tc>
          <w:tcPr>
            <w:tcW w:w="48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gross profit</w:t>
            </w:r>
          </w:p>
        </w:tc>
        <w:tc>
          <w:tcPr>
            <w:tcW w:w="2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658</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511</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615</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80" w:type="dxa"/>
            <w:vAlign w:val="bottom"/>
            <w:tcBorders>
              <w:bottom w:val="single" w:sz="8" w:color="CFF0FC"/>
            </w:tcBorders>
            <w:shd w:val="clear" w:color="auto" w:fill="CFF0FC"/>
          </w:tcPr>
          <w:p>
            <w:pPr>
              <w:spacing w:after="0"/>
              <w:rPr>
                <w:sz w:val="21"/>
                <w:szCs w:val="21"/>
                <w:color w:val="auto"/>
              </w:rPr>
            </w:pPr>
          </w:p>
        </w:tc>
      </w:tr>
      <w:tr>
        <w:trPr>
          <w:trHeight w:val="197"/>
        </w:trPr>
        <w:tc>
          <w:tcPr>
            <w:tcW w:w="40" w:type="dxa"/>
            <w:vAlign w:val="bottom"/>
          </w:tcPr>
          <w:p>
            <w:pPr>
              <w:spacing w:after="0"/>
              <w:rPr>
                <w:sz w:val="17"/>
                <w:szCs w:val="17"/>
                <w:color w:val="auto"/>
              </w:rPr>
            </w:pPr>
          </w:p>
        </w:tc>
        <w:tc>
          <w:tcPr>
            <w:tcW w:w="4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Segment gross profit percentage</w:t>
            </w:r>
          </w:p>
        </w:tc>
        <w:tc>
          <w:tcPr>
            <w:tcW w:w="240" w:type="dxa"/>
            <w:vAlign w:val="bottom"/>
          </w:tcPr>
          <w:p>
            <w:pPr>
              <w:spacing w:after="0"/>
              <w:rPr>
                <w:sz w:val="17"/>
                <w:szCs w:val="17"/>
                <w:color w:val="auto"/>
              </w:rPr>
            </w:pPr>
          </w:p>
        </w:tc>
        <w:tc>
          <w:tcPr>
            <w:tcW w:w="1220" w:type="dxa"/>
            <w:vAlign w:val="bottom"/>
            <w:gridSpan w:val="4"/>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43.6%</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4"/>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50.1%</w:t>
            </w:r>
          </w:p>
        </w:tc>
        <w:tc>
          <w:tcPr>
            <w:tcW w:w="160" w:type="dxa"/>
            <w:vAlign w:val="bottom"/>
          </w:tcPr>
          <w:p>
            <w:pPr>
              <w:spacing w:after="0"/>
              <w:rPr>
                <w:sz w:val="17"/>
                <w:szCs w:val="17"/>
                <w:color w:val="auto"/>
              </w:rPr>
            </w:pPr>
          </w:p>
        </w:tc>
        <w:tc>
          <w:tcPr>
            <w:tcW w:w="1220" w:type="dxa"/>
            <w:vAlign w:val="bottom"/>
            <w:gridSpan w:val="4"/>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50.9%</w:t>
            </w:r>
          </w:p>
        </w:tc>
        <w:tc>
          <w:tcPr>
            <w:tcW w:w="180" w:type="dxa"/>
            <w:vAlign w:val="bottom"/>
          </w:tcPr>
          <w:p>
            <w:pPr>
              <w:spacing w:after="0"/>
              <w:rPr>
                <w:sz w:val="17"/>
                <w:szCs w:val="17"/>
                <w:color w:val="auto"/>
              </w:rPr>
            </w:pPr>
          </w:p>
        </w:tc>
        <w:tc>
          <w:tcPr>
            <w:tcW w:w="10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47.7%</w:t>
            </w:r>
          </w:p>
        </w:tc>
      </w:tr>
      <w:tr>
        <w:trPr>
          <w:trHeight w:val="216"/>
        </w:trPr>
        <w:tc>
          <w:tcPr>
            <w:tcW w:w="40" w:type="dxa"/>
            <w:vAlign w:val="bottom"/>
          </w:tcPr>
          <w:p>
            <w:pPr>
              <w:spacing w:after="0"/>
              <w:rPr>
                <w:sz w:val="18"/>
                <w:szCs w:val="18"/>
                <w:color w:val="auto"/>
              </w:rPr>
            </w:pPr>
          </w:p>
        </w:tc>
        <w:tc>
          <w:tcPr>
            <w:tcW w:w="4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Reconciliation to income before income taxes</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8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80" w:type="dxa"/>
            <w:vAlign w:val="bottom"/>
            <w:shd w:val="clear" w:color="auto" w:fill="CFF0FC"/>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8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8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Restructuring and other</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FF0FC"/>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Legal settlement</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8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Fees and expenses related to debt activities</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FF0FC"/>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8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88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24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8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8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40" w:type="dxa"/>
            <w:vAlign w:val="bottom"/>
          </w:tcPr>
          <w:p>
            <w:pPr>
              <w:spacing w:after="0"/>
              <w:rPr>
                <w:sz w:val="18"/>
                <w:szCs w:val="18"/>
                <w:color w:val="auto"/>
              </w:rPr>
            </w:pPr>
          </w:p>
        </w:tc>
        <w:tc>
          <w:tcPr>
            <w:tcW w:w="4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8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8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FF0FC"/>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r>
      <w:tr>
        <w:trPr>
          <w:trHeight w:val="250"/>
        </w:trPr>
        <w:tc>
          <w:tcPr>
            <w:tcW w:w="40" w:type="dxa"/>
            <w:vAlign w:val="bottom"/>
          </w:tcPr>
          <w:p>
            <w:pPr>
              <w:spacing w:after="0"/>
              <w:rPr>
                <w:sz w:val="21"/>
                <w:szCs w:val="21"/>
                <w:color w:val="auto"/>
              </w:rPr>
            </w:pPr>
          </w:p>
        </w:tc>
        <w:tc>
          <w:tcPr>
            <w:tcW w:w="488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gridSpan w:val="2"/>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80" w:type="dxa"/>
            <w:vAlign w:val="bottom"/>
            <w:tcBorders>
              <w:bottom w:val="single" w:sz="8" w:color="CFF0FC"/>
            </w:tcBorders>
            <w:shd w:val="clear" w:color="auto" w:fill="CFF0FC"/>
          </w:tcPr>
          <w:p>
            <w:pPr>
              <w:spacing w:after="0"/>
              <w:rPr>
                <w:sz w:val="21"/>
                <w:szCs w:val="21"/>
                <w:color w:val="auto"/>
              </w:rPr>
            </w:pPr>
          </w:p>
        </w:tc>
      </w:tr>
      <w:tr>
        <w:trPr>
          <w:trHeight w:val="345"/>
        </w:trPr>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4"/>
                <w:szCs w:val="14"/>
                <w:color w:val="auto"/>
              </w:rPr>
              <w:t>Nine Months Ended September 30, 2025</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42"/>
        </w:trPr>
        <w:tc>
          <w:tcPr>
            <w:tcW w:w="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color w:val="auto"/>
              </w:rPr>
              <w:t>VSD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color w:val="auto"/>
              </w:rPr>
              <w:t>PSD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color w:val="auto"/>
              </w:rPr>
              <w:t>MSD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80" w:type="dxa"/>
            <w:vAlign w:val="bottom"/>
          </w:tcPr>
          <w:p>
            <w:pPr>
              <w:spacing w:after="0"/>
              <w:rPr>
                <w:sz w:val="12"/>
                <w:szCs w:val="12"/>
                <w:color w:val="auto"/>
              </w:rPr>
            </w:pPr>
          </w:p>
        </w:tc>
      </w:tr>
      <w:tr>
        <w:trPr>
          <w:trHeight w:val="210"/>
        </w:trPr>
        <w:tc>
          <w:tcPr>
            <w:tcW w:w="40" w:type="dxa"/>
            <w:vAlign w:val="bottom"/>
          </w:tcPr>
          <w:p>
            <w:pPr>
              <w:spacing w:after="0"/>
              <w:rPr>
                <w:sz w:val="18"/>
                <w:szCs w:val="18"/>
                <w:color w:val="auto"/>
              </w:rPr>
            </w:pPr>
          </w:p>
        </w:tc>
        <w:tc>
          <w:tcPr>
            <w:tcW w:w="4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6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8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180" w:type="dxa"/>
            <w:vAlign w:val="bottom"/>
            <w:shd w:val="clear" w:color="auto" w:fill="CFF0FC"/>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Services</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80" w:type="dxa"/>
            <w:vAlign w:val="bottom"/>
          </w:tcPr>
          <w:p>
            <w:pPr>
              <w:spacing w:after="0"/>
              <w:rPr>
                <w:sz w:val="18"/>
                <w:szCs w:val="18"/>
                <w:color w:val="auto"/>
              </w:rPr>
            </w:pPr>
          </w:p>
        </w:tc>
      </w:tr>
      <w:tr>
        <w:trPr>
          <w:trHeight w:val="250"/>
        </w:trPr>
        <w:tc>
          <w:tcPr>
            <w:tcW w:w="40" w:type="dxa"/>
            <w:vAlign w:val="bottom"/>
          </w:tcPr>
          <w:p>
            <w:pPr>
              <w:spacing w:after="0"/>
              <w:rPr>
                <w:sz w:val="21"/>
                <w:szCs w:val="21"/>
                <w:color w:val="auto"/>
              </w:rPr>
            </w:pPr>
          </w:p>
        </w:tc>
        <w:tc>
          <w:tcPr>
            <w:tcW w:w="48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 by segment</w:t>
            </w:r>
          </w:p>
        </w:tc>
        <w:tc>
          <w:tcPr>
            <w:tcW w:w="2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180" w:type="dxa"/>
            <w:vAlign w:val="bottom"/>
            <w:tcBorders>
              <w:bottom w:val="single" w:sz="8" w:color="CFF0FC"/>
            </w:tcBorders>
            <w:shd w:val="clear" w:color="auto" w:fill="CFF0FC"/>
          </w:tcPr>
          <w:p>
            <w:pPr>
              <w:spacing w:after="0"/>
              <w:rPr>
                <w:sz w:val="21"/>
                <w:szCs w:val="21"/>
                <w:color w:val="auto"/>
              </w:rPr>
            </w:pPr>
          </w:p>
        </w:tc>
      </w:tr>
      <w:tr>
        <w:trPr>
          <w:trHeight w:val="158"/>
        </w:trPr>
        <w:tc>
          <w:tcPr>
            <w:tcW w:w="40" w:type="dxa"/>
            <w:vAlign w:val="bottom"/>
          </w:tcPr>
          <w:p>
            <w:pPr>
              <w:spacing w:after="0"/>
              <w:rPr>
                <w:sz w:val="13"/>
                <w:szCs w:val="13"/>
                <w:color w:val="auto"/>
              </w:rPr>
            </w:pPr>
          </w:p>
        </w:tc>
        <w:tc>
          <w:tcPr>
            <w:tcW w:w="4880" w:type="dxa"/>
            <w:vAlign w:val="bottom"/>
            <w:gridSpan w:val="2"/>
          </w:tcPr>
          <w:p>
            <w:pPr>
              <w:spacing w:after="0" w:line="158" w:lineRule="exact"/>
              <w:rPr>
                <w:sz w:val="20"/>
                <w:szCs w:val="20"/>
                <w:color w:val="auto"/>
              </w:rPr>
            </w:pPr>
            <w:r>
              <w:rPr>
                <w:rFonts w:ascii="Times New Roman" w:cs="Times New Roman" w:eastAsia="Times New Roman" w:hAnsi="Times New Roman"/>
                <w:sz w:val="18"/>
                <w:szCs w:val="18"/>
                <w:color w:val="auto"/>
              </w:rPr>
              <w:t>Total cost of revenues (exclusive of amortization shown</w:t>
            </w: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41"/>
        </w:trPr>
        <w:tc>
          <w:tcPr>
            <w:tcW w:w="4920" w:type="dxa"/>
            <w:vAlign w:val="bottom"/>
            <w:gridSpan w:val="3"/>
          </w:tcPr>
          <w:p>
            <w:pPr>
              <w:ind w:left="40"/>
              <w:spacing w:after="0" w:line="241" w:lineRule="exact"/>
              <w:rPr>
                <w:sz w:val="20"/>
                <w:szCs w:val="20"/>
                <w:color w:val="auto"/>
              </w:rPr>
            </w:pPr>
            <w:r>
              <w:rPr>
                <w:rFonts w:ascii="Times New Roman" w:cs="Times New Roman" w:eastAsia="Times New Roman" w:hAnsi="Times New Roman"/>
                <w:sz w:val="18"/>
                <w:szCs w:val="18"/>
                <w:color w:val="auto"/>
              </w:rPr>
              <w:t>separately below)</w:t>
            </w:r>
            <w:r>
              <w:rPr>
                <w:rFonts w:ascii="Times New Roman" w:cs="Times New Roman" w:eastAsia="Times New Roman" w:hAnsi="Times New Roman"/>
                <w:sz w:val="24"/>
                <w:szCs w:val="24"/>
                <w:color w:val="auto"/>
                <w:vertAlign w:val="superscript"/>
              </w:rPr>
              <w:t>(1)</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180" w:type="dxa"/>
            <w:vAlign w:val="bottom"/>
          </w:tcPr>
          <w:p>
            <w:pPr>
              <w:spacing w:after="0"/>
              <w:rPr>
                <w:sz w:val="20"/>
                <w:szCs w:val="20"/>
                <w:color w:val="auto"/>
              </w:rPr>
            </w:pPr>
          </w:p>
        </w:tc>
      </w:tr>
      <w:tr>
        <w:trPr>
          <w:trHeight w:val="250"/>
        </w:trPr>
        <w:tc>
          <w:tcPr>
            <w:tcW w:w="40" w:type="dxa"/>
            <w:vAlign w:val="bottom"/>
          </w:tcPr>
          <w:p>
            <w:pPr>
              <w:spacing w:after="0"/>
              <w:rPr>
                <w:sz w:val="21"/>
                <w:szCs w:val="21"/>
                <w:color w:val="auto"/>
              </w:rPr>
            </w:pPr>
          </w:p>
        </w:tc>
        <w:tc>
          <w:tcPr>
            <w:tcW w:w="48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gross profit</w:t>
            </w:r>
          </w:p>
        </w:tc>
        <w:tc>
          <w:tcPr>
            <w:tcW w:w="2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80" w:type="dxa"/>
            <w:vAlign w:val="bottom"/>
            <w:tcBorders>
              <w:bottom w:val="single" w:sz="8" w:color="CFF0FC"/>
            </w:tcBorders>
            <w:shd w:val="clear" w:color="auto" w:fill="CFF0FC"/>
          </w:tcPr>
          <w:p>
            <w:pPr>
              <w:spacing w:after="0"/>
              <w:rPr>
                <w:sz w:val="21"/>
                <w:szCs w:val="21"/>
                <w:color w:val="auto"/>
              </w:rPr>
            </w:pPr>
          </w:p>
        </w:tc>
      </w:tr>
      <w:tr>
        <w:trPr>
          <w:trHeight w:val="197"/>
        </w:trPr>
        <w:tc>
          <w:tcPr>
            <w:tcW w:w="40" w:type="dxa"/>
            <w:vAlign w:val="bottom"/>
          </w:tcPr>
          <w:p>
            <w:pPr>
              <w:spacing w:after="0"/>
              <w:rPr>
                <w:sz w:val="17"/>
                <w:szCs w:val="17"/>
                <w:color w:val="auto"/>
              </w:rPr>
            </w:pPr>
          </w:p>
        </w:tc>
        <w:tc>
          <w:tcPr>
            <w:tcW w:w="4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Segment gross profit percentage</w:t>
            </w:r>
          </w:p>
        </w:tc>
        <w:tc>
          <w:tcPr>
            <w:tcW w:w="240" w:type="dxa"/>
            <w:vAlign w:val="bottom"/>
          </w:tcPr>
          <w:p>
            <w:pPr>
              <w:spacing w:after="0"/>
              <w:rPr>
                <w:sz w:val="17"/>
                <w:szCs w:val="17"/>
                <w:color w:val="auto"/>
              </w:rPr>
            </w:pPr>
          </w:p>
        </w:tc>
        <w:tc>
          <w:tcPr>
            <w:tcW w:w="9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43.7%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43.4%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54.3%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46.9%</w:t>
            </w:r>
          </w:p>
        </w:tc>
      </w:tr>
      <w:tr>
        <w:trPr>
          <w:trHeight w:val="216"/>
        </w:trPr>
        <w:tc>
          <w:tcPr>
            <w:tcW w:w="40" w:type="dxa"/>
            <w:vAlign w:val="bottom"/>
          </w:tcPr>
          <w:p>
            <w:pPr>
              <w:spacing w:after="0"/>
              <w:rPr>
                <w:sz w:val="18"/>
                <w:szCs w:val="18"/>
                <w:color w:val="auto"/>
              </w:rPr>
            </w:pPr>
          </w:p>
        </w:tc>
        <w:tc>
          <w:tcPr>
            <w:tcW w:w="4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Reconciliation to income before income taxes</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8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80" w:type="dxa"/>
            <w:vAlign w:val="bottom"/>
            <w:shd w:val="clear" w:color="auto" w:fill="CFF0FC"/>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8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8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Restructuring and other</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FF0FC"/>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Fees and expenses related to debt activities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8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80" w:type="dxa"/>
            <w:vAlign w:val="bottom"/>
            <w:shd w:val="clear" w:color="auto" w:fill="CFF0FC"/>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4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80" w:type="dxa"/>
            <w:vAlign w:val="bottom"/>
            <w:shd w:val="clear" w:color="auto" w:fill="CFF0FC"/>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40" w:type="dxa"/>
            <w:vAlign w:val="bottom"/>
          </w:tcPr>
          <w:p>
            <w:pPr>
              <w:spacing w:after="0"/>
              <w:rPr>
                <w:sz w:val="18"/>
                <w:szCs w:val="18"/>
                <w:color w:val="auto"/>
              </w:rPr>
            </w:pPr>
          </w:p>
        </w:tc>
        <w:tc>
          <w:tcPr>
            <w:tcW w:w="48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80" w:type="dxa"/>
            <w:vAlign w:val="bottom"/>
            <w:shd w:val="clear" w:color="auto" w:fill="CFF0FC"/>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88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4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4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8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15"/>
        </w:trPr>
        <w:tc>
          <w:tcPr>
            <w:tcW w:w="4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3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3900805</wp:posOffset>
            </wp:positionH>
            <wp:positionV relativeFrom="paragraph">
              <wp:posOffset>-6120130</wp:posOffset>
            </wp:positionV>
            <wp:extent cx="11112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3900805</wp:posOffset>
            </wp:positionH>
            <wp:positionV relativeFrom="paragraph">
              <wp:posOffset>-6102985</wp:posOffset>
            </wp:positionV>
            <wp:extent cx="11112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4852035</wp:posOffset>
            </wp:positionH>
            <wp:positionV relativeFrom="paragraph">
              <wp:posOffset>-6120130</wp:posOffset>
            </wp:positionV>
            <wp:extent cx="11112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4852035</wp:posOffset>
            </wp:positionH>
            <wp:positionV relativeFrom="paragraph">
              <wp:posOffset>-6102985</wp:posOffset>
            </wp:positionV>
            <wp:extent cx="11112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5735320</wp:posOffset>
            </wp:positionH>
            <wp:positionV relativeFrom="paragraph">
              <wp:posOffset>-6120130</wp:posOffset>
            </wp:positionV>
            <wp:extent cx="11112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5735320</wp:posOffset>
            </wp:positionH>
            <wp:positionV relativeFrom="paragraph">
              <wp:posOffset>-6102985</wp:posOffset>
            </wp:positionV>
            <wp:extent cx="11112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6549390</wp:posOffset>
            </wp:positionH>
            <wp:positionV relativeFrom="paragraph">
              <wp:posOffset>-6120130</wp:posOffset>
            </wp:positionV>
            <wp:extent cx="11176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6549390</wp:posOffset>
            </wp:positionH>
            <wp:positionV relativeFrom="paragraph">
              <wp:posOffset>-6102985</wp:posOffset>
            </wp:positionV>
            <wp:extent cx="11176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3900805</wp:posOffset>
            </wp:positionH>
            <wp:positionV relativeFrom="paragraph">
              <wp:posOffset>-5682615</wp:posOffset>
            </wp:positionV>
            <wp:extent cx="11112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3900805</wp:posOffset>
            </wp:positionH>
            <wp:positionV relativeFrom="paragraph">
              <wp:posOffset>-5665470</wp:posOffset>
            </wp:positionV>
            <wp:extent cx="11112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4852035</wp:posOffset>
            </wp:positionH>
            <wp:positionV relativeFrom="paragraph">
              <wp:posOffset>-5682615</wp:posOffset>
            </wp:positionV>
            <wp:extent cx="11112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4852035</wp:posOffset>
            </wp:positionH>
            <wp:positionV relativeFrom="paragraph">
              <wp:posOffset>-5665470</wp:posOffset>
            </wp:positionV>
            <wp:extent cx="11112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5735320</wp:posOffset>
            </wp:positionH>
            <wp:positionV relativeFrom="paragraph">
              <wp:posOffset>-5682615</wp:posOffset>
            </wp:positionV>
            <wp:extent cx="11112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5735320</wp:posOffset>
            </wp:positionH>
            <wp:positionV relativeFrom="paragraph">
              <wp:posOffset>-5665470</wp:posOffset>
            </wp:positionV>
            <wp:extent cx="11112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6549390</wp:posOffset>
            </wp:positionH>
            <wp:positionV relativeFrom="paragraph">
              <wp:posOffset>-5682615</wp:posOffset>
            </wp:positionV>
            <wp:extent cx="11176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6549390</wp:posOffset>
            </wp:positionH>
            <wp:positionV relativeFrom="paragraph">
              <wp:posOffset>-5665470</wp:posOffset>
            </wp:positionV>
            <wp:extent cx="11176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6549390</wp:posOffset>
            </wp:positionH>
            <wp:positionV relativeFrom="paragraph">
              <wp:posOffset>-4285615</wp:posOffset>
            </wp:positionV>
            <wp:extent cx="11176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6549390</wp:posOffset>
            </wp:positionH>
            <wp:positionV relativeFrom="paragraph">
              <wp:posOffset>-3445510</wp:posOffset>
            </wp:positionV>
            <wp:extent cx="11176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6549390</wp:posOffset>
            </wp:positionH>
            <wp:positionV relativeFrom="paragraph">
              <wp:posOffset>-3428365</wp:posOffset>
            </wp:positionV>
            <wp:extent cx="11176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3797935</wp:posOffset>
            </wp:positionH>
            <wp:positionV relativeFrom="paragraph">
              <wp:posOffset>-2656840</wp:posOffset>
            </wp:positionV>
            <wp:extent cx="11112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3797935</wp:posOffset>
            </wp:positionH>
            <wp:positionV relativeFrom="paragraph">
              <wp:posOffset>-2639695</wp:posOffset>
            </wp:positionV>
            <wp:extent cx="11112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4749165</wp:posOffset>
            </wp:positionH>
            <wp:positionV relativeFrom="paragraph">
              <wp:posOffset>-2656840</wp:posOffset>
            </wp:positionV>
            <wp:extent cx="11112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4749165</wp:posOffset>
            </wp:positionH>
            <wp:positionV relativeFrom="paragraph">
              <wp:posOffset>-2639695</wp:posOffset>
            </wp:positionV>
            <wp:extent cx="11112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5632450</wp:posOffset>
            </wp:positionH>
            <wp:positionV relativeFrom="paragraph">
              <wp:posOffset>-2656840</wp:posOffset>
            </wp:positionV>
            <wp:extent cx="11112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5632450</wp:posOffset>
            </wp:positionH>
            <wp:positionV relativeFrom="paragraph">
              <wp:posOffset>-2639695</wp:posOffset>
            </wp:positionV>
            <wp:extent cx="11112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6549390</wp:posOffset>
            </wp:positionH>
            <wp:positionV relativeFrom="paragraph">
              <wp:posOffset>-2656840</wp:posOffset>
            </wp:positionV>
            <wp:extent cx="11176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6549390</wp:posOffset>
            </wp:positionH>
            <wp:positionV relativeFrom="paragraph">
              <wp:posOffset>-2639695</wp:posOffset>
            </wp:positionV>
            <wp:extent cx="11176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3797935</wp:posOffset>
            </wp:positionH>
            <wp:positionV relativeFrom="paragraph">
              <wp:posOffset>-2219325</wp:posOffset>
            </wp:positionV>
            <wp:extent cx="11112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3797935</wp:posOffset>
            </wp:positionH>
            <wp:positionV relativeFrom="paragraph">
              <wp:posOffset>-2202180</wp:posOffset>
            </wp:positionV>
            <wp:extent cx="11112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4749165</wp:posOffset>
            </wp:positionH>
            <wp:positionV relativeFrom="paragraph">
              <wp:posOffset>-2219325</wp:posOffset>
            </wp:positionV>
            <wp:extent cx="11112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4749165</wp:posOffset>
            </wp:positionH>
            <wp:positionV relativeFrom="paragraph">
              <wp:posOffset>-2202180</wp:posOffset>
            </wp:positionV>
            <wp:extent cx="11112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5632450</wp:posOffset>
            </wp:positionH>
            <wp:positionV relativeFrom="paragraph">
              <wp:posOffset>-2219325</wp:posOffset>
            </wp:positionV>
            <wp:extent cx="11112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5632450</wp:posOffset>
            </wp:positionH>
            <wp:positionV relativeFrom="paragraph">
              <wp:posOffset>-2202180</wp:posOffset>
            </wp:positionV>
            <wp:extent cx="11112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6549390</wp:posOffset>
            </wp:positionH>
            <wp:positionV relativeFrom="paragraph">
              <wp:posOffset>-2219325</wp:posOffset>
            </wp:positionV>
            <wp:extent cx="11176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6549390</wp:posOffset>
            </wp:positionH>
            <wp:positionV relativeFrom="paragraph">
              <wp:posOffset>-2202180</wp:posOffset>
            </wp:positionV>
            <wp:extent cx="11176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6549390</wp:posOffset>
            </wp:positionH>
            <wp:positionV relativeFrom="paragraph">
              <wp:posOffset>-265430</wp:posOffset>
            </wp:positionV>
            <wp:extent cx="11176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ind w:left="390" w:hanging="390"/>
        <w:spacing w:after="0"/>
        <w:tabs>
          <w:tab w:leader="none" w:pos="390" w:val="left"/>
        </w:tabs>
        <w:numPr>
          <w:ilvl w:val="0"/>
          <w:numId w:val="2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significant expense category and amount align with the segment-level information that is regularly provided to the CODM.</w:t>
      </w:r>
    </w:p>
    <w:p>
      <w:pPr>
        <w:spacing w:after="0" w:line="184" w:lineRule="exact"/>
        <w:rPr>
          <w:rFonts w:ascii="Times New Roman" w:cs="Times New Roman" w:eastAsia="Times New Roman" w:hAnsi="Times New Roman"/>
          <w:sz w:val="24"/>
          <w:szCs w:val="24"/>
          <w:color w:val="auto"/>
          <w:vertAlign w:val="superscript"/>
        </w:rPr>
      </w:pPr>
    </w:p>
    <w:p>
      <w:pPr>
        <w:ind w:left="4790"/>
        <w:spacing w:after="0"/>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484505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90"/>
          </w:cols>
          <w:pgMar w:left="1070" w:top="769"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color w:val="auto"/>
        </w:rPr>
        <w:t>MKS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3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capital expenditures by reportable segment:</w:t>
      </w:r>
    </w:p>
    <w:p>
      <w:pPr>
        <w:spacing w:after="0" w:line="167" w:lineRule="exact"/>
        <w:rPr>
          <w:sz w:val="20"/>
          <w:szCs w:val="20"/>
          <w:color w:val="auto"/>
        </w:rPr>
      </w:pPr>
    </w:p>
    <w:tbl>
      <w:tblPr>
        <w:tblLayout w:type="fixed"/>
        <w:tblInd w:w="8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Three Months Ended September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gridSpan w:val="5"/>
          </w:tcPr>
          <w:p>
            <w:pPr>
              <w:ind w:left="80"/>
              <w:spacing w:after="0"/>
              <w:rPr>
                <w:sz w:val="20"/>
                <w:szCs w:val="20"/>
                <w:color w:val="auto"/>
              </w:rPr>
            </w:pPr>
            <w:r>
              <w:rPr>
                <w:rFonts w:ascii="Times New Roman" w:cs="Times New Roman" w:eastAsia="Times New Roman" w:hAnsi="Times New Roman"/>
                <w:sz w:val="14"/>
                <w:szCs w:val="14"/>
                <w:color w:val="auto"/>
              </w:rPr>
              <w:t>Nine Months Ended September 30,</w:t>
            </w: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3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2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56"/>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VSD</w:t>
            </w:r>
          </w:p>
        </w:tc>
        <w:tc>
          <w:tcPr>
            <w:tcW w:w="86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140" w:type="dxa"/>
            <w:vAlign w:val="bottom"/>
            <w:gridSpan w:val="2"/>
            <w:shd w:val="clear" w:color="auto" w:fill="CFF0FC"/>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32</w:t>
            </w:r>
          </w:p>
        </w:tc>
        <w:tc>
          <w:tcPr>
            <w:tcW w:w="3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PSD</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MSD</w:t>
            </w:r>
          </w:p>
        </w:tc>
        <w:tc>
          <w:tcPr>
            <w:tcW w:w="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86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140" w:type="dxa"/>
            <w:vAlign w:val="bottom"/>
            <w:gridSpan w:val="2"/>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50</w:t>
            </w: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-170815</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-170815</wp:posOffset>
            </wp:positionV>
            <wp:extent cx="6032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-170815</wp:posOffset>
            </wp:positionV>
            <wp:extent cx="5969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-170815</wp:posOffset>
            </wp:positionV>
            <wp:extent cx="5969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depreciation and amortization by reportable segment:</w:t>
      </w:r>
    </w:p>
    <w:p>
      <w:pPr>
        <w:spacing w:after="0" w:line="167" w:lineRule="exact"/>
        <w:rPr>
          <w:sz w:val="20"/>
          <w:szCs w:val="20"/>
          <w:color w:val="auto"/>
        </w:rPr>
      </w:pPr>
    </w:p>
    <w:tbl>
      <w:tblPr>
        <w:tblLayout w:type="fixed"/>
        <w:tblInd w:w="8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4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Three Months Ended September 30,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6"/>
          </w:tcPr>
          <w:p>
            <w:pPr>
              <w:ind w:left="240"/>
              <w:spacing w:after="0"/>
              <w:rPr>
                <w:sz w:val="20"/>
                <w:szCs w:val="20"/>
                <w:color w:val="auto"/>
              </w:rPr>
            </w:pPr>
            <w:r>
              <w:rPr>
                <w:rFonts w:ascii="Times New Roman" w:cs="Times New Roman" w:eastAsia="Times New Roman" w:hAnsi="Times New Roman"/>
                <w:sz w:val="14"/>
                <w:szCs w:val="14"/>
                <w:color w:val="auto"/>
              </w:rPr>
              <w:t>Nine Months Ended September 30,</w:t>
            </w: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62"/>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3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24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38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VSD</w:t>
            </w:r>
          </w:p>
        </w:tc>
        <w:tc>
          <w:tcPr>
            <w:tcW w:w="900" w:type="dxa"/>
            <w:vAlign w:val="bottom"/>
            <w:shd w:val="clear" w:color="auto" w:fill="CFF0FC"/>
          </w:tcPr>
          <w:p>
            <w:pPr>
              <w:jc w:val="right"/>
              <w:ind w:right="742"/>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80" w:type="dxa"/>
            <w:vAlign w:val="bottom"/>
            <w:gridSpan w:val="3"/>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PSD</w:t>
            </w:r>
          </w:p>
        </w:tc>
        <w:tc>
          <w:tcPr>
            <w:tcW w:w="9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MSD</w:t>
            </w:r>
          </w:p>
        </w:tc>
        <w:tc>
          <w:tcPr>
            <w:tcW w:w="90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900" w:type="dxa"/>
            <w:vAlign w:val="bottom"/>
          </w:tcPr>
          <w:p>
            <w:pPr>
              <w:jc w:val="right"/>
              <w:ind w:right="742"/>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0" w:type="dxa"/>
            <w:vAlign w:val="bottom"/>
            <w:gridSpan w:val="2"/>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80" w:type="dxa"/>
            <w:vAlign w:val="bottom"/>
            <w:gridSpan w:val="3"/>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-170815</wp:posOffset>
            </wp:positionV>
            <wp:extent cx="6032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-170815</wp:posOffset>
            </wp:positionV>
            <wp:extent cx="5969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-170815</wp:posOffset>
            </wp:positionV>
            <wp:extent cx="6032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tables set forth segment assets by reportable segment:</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color w:val="auto"/>
              </w:rPr>
              <w:t>Accounts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52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September 30, 2026</w:t>
            </w:r>
          </w:p>
        </w:tc>
        <w:tc>
          <w:tcPr>
            <w:tcW w:w="1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receivable, net</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Inventories</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VSD</w:t>
            </w:r>
          </w:p>
        </w:tc>
        <w:tc>
          <w:tcPr>
            <w:tcW w:w="1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318</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spacing w:after="0"/>
              <w:rPr>
                <w:sz w:val="18"/>
                <w:szCs w:val="18"/>
                <w:color w:val="auto"/>
              </w:rPr>
            </w:pPr>
          </w:p>
        </w:tc>
        <w:tc>
          <w:tcPr>
            <w:tcW w:w="3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88"/>
              </w:rPr>
              <w:t>600</w:t>
            </w:r>
          </w:p>
        </w:tc>
        <w:tc>
          <w:tcPr>
            <w:tcW w:w="4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918</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PSD</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88"/>
              </w:rPr>
              <w:t>348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MSD</w:t>
            </w: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88"/>
              </w:rPr>
              <w:t>214</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line="20" w:lineRule="exact"/>
              <w:rPr>
                <w:sz w:val="1"/>
                <w:szCs w:val="1"/>
                <w:color w:val="auto"/>
              </w:rPr>
            </w:pPr>
          </w:p>
        </w:tc>
        <w:tc>
          <w:tcPr>
            <w:tcW w:w="472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 w:type="dxa"/>
            <w:vAlign w:val="bottom"/>
            <w:vMerge w:val="continue"/>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Total segment assets</w:t>
            </w:r>
          </w:p>
        </w:tc>
        <w:tc>
          <w:tcPr>
            <w:tcW w:w="1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902</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1,162</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2,064</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80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color w:val="auto"/>
              </w:rPr>
              <w:t>Accounts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52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December 31, 2025</w:t>
            </w:r>
          </w:p>
        </w:tc>
        <w:tc>
          <w:tcPr>
            <w:tcW w:w="1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receivable, net</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Inventories</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VSD</w:t>
            </w:r>
          </w:p>
        </w:tc>
        <w:tc>
          <w:tcPr>
            <w:tcW w:w="1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190</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spacing w:after="0"/>
              <w:rPr>
                <w:sz w:val="18"/>
                <w:szCs w:val="18"/>
                <w:color w:val="auto"/>
              </w:rPr>
            </w:pPr>
          </w:p>
        </w:tc>
        <w:tc>
          <w:tcPr>
            <w:tcW w:w="3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88"/>
              </w:rPr>
              <w:t>475</w:t>
            </w:r>
          </w:p>
        </w:tc>
        <w:tc>
          <w:tcPr>
            <w:tcW w:w="4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PSD</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88"/>
              </w:rPr>
              <w:t>270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MSD</w:t>
            </w: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88"/>
              </w:rPr>
              <w:t>176</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line="20" w:lineRule="exact"/>
              <w:rPr>
                <w:sz w:val="1"/>
                <w:szCs w:val="1"/>
                <w:color w:val="auto"/>
              </w:rPr>
            </w:pPr>
          </w:p>
        </w:tc>
        <w:tc>
          <w:tcPr>
            <w:tcW w:w="472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 w:type="dxa"/>
            <w:vAlign w:val="bottom"/>
            <w:vMerge w:val="continue"/>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Total segment assets</w:t>
            </w:r>
          </w:p>
        </w:tc>
        <w:tc>
          <w:tcPr>
            <w:tcW w:w="1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651</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88"/>
              </w:rPr>
              <w:t>921</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1,572</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ind w:left="760"/>
              <w:spacing w:after="0"/>
              <w:rPr>
                <w:sz w:val="20"/>
                <w:szCs w:val="20"/>
                <w:color w:val="auto"/>
              </w:rPr>
            </w:pPr>
            <w:r>
              <w:rPr>
                <w:rFonts w:ascii="Times New Roman" w:cs="Times New Roman" w:eastAsia="Times New Roman" w:hAnsi="Times New Roman"/>
                <w:sz w:val="18"/>
                <w:szCs w:val="18"/>
                <w:color w:val="auto"/>
              </w:rPr>
              <w:t>The following table reconciles total segment assets to total assets:</w:t>
            </w:r>
          </w:p>
        </w:tc>
        <w:tc>
          <w:tcPr>
            <w:tcW w:w="1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52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00" w:type="dxa"/>
            <w:vAlign w:val="bottom"/>
          </w:tcPr>
          <w:p>
            <w:pPr>
              <w:spacing w:after="0"/>
              <w:rPr>
                <w:sz w:val="22"/>
                <w:szCs w:val="22"/>
                <w:color w:val="auto"/>
              </w:rPr>
            </w:pPr>
          </w:p>
        </w:tc>
        <w:tc>
          <w:tcPr>
            <w:tcW w:w="47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20" w:type="dxa"/>
            <w:vAlign w:val="bottom"/>
            <w:tcBorders>
              <w:bottom w:val="single" w:sz="8" w:color="auto"/>
            </w:tcBorders>
            <w:gridSpan w:val="5"/>
          </w:tcPr>
          <w:p>
            <w:pPr>
              <w:jc w:val="right"/>
              <w:ind w:right="153"/>
              <w:spacing w:after="0"/>
              <w:rPr>
                <w:sz w:val="20"/>
                <w:szCs w:val="20"/>
                <w:color w:val="auto"/>
              </w:rPr>
            </w:pPr>
            <w:r>
              <w:rPr>
                <w:rFonts w:ascii="Times New Roman" w:cs="Times New Roman" w:eastAsia="Times New Roman" w:hAnsi="Times New Roman"/>
                <w:sz w:val="14"/>
                <w:szCs w:val="14"/>
                <w:color w:val="auto"/>
              </w:rPr>
              <w:t>September 30, 2026</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color w:val="auto"/>
              </w:rPr>
              <w:t>December 31, 2025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assets</w:t>
            </w: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3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1,572</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810</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Goodwill and intangible assets, net</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4,714</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line="20" w:lineRule="exact"/>
              <w:rPr>
                <w:sz w:val="1"/>
                <w:szCs w:val="1"/>
                <w:color w:val="auto"/>
              </w:rPr>
            </w:pPr>
          </w:p>
        </w:tc>
        <w:tc>
          <w:tcPr>
            <w:tcW w:w="472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 w:type="dxa"/>
            <w:vAlign w:val="bottom"/>
            <w:vMerge w:val="continue"/>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9,232</w:t>
            </w: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8,796</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120" w:type="dxa"/>
            <w:vAlign w:val="bottom"/>
            <w:vMerge w:val="restart"/>
          </w:tcPr>
          <w:p>
            <w:pPr>
              <w:jc w:val="right"/>
              <w:ind w:right="830"/>
              <w:spacing w:after="0"/>
              <w:rPr>
                <w:sz w:val="20"/>
                <w:szCs w:val="20"/>
                <w:color w:val="auto"/>
              </w:rPr>
            </w:pPr>
            <w:r>
              <w:rPr>
                <w:rFonts w:ascii="Times New Roman" w:cs="Times New Roman" w:eastAsia="Times New Roman" w:hAnsi="Times New Roman"/>
                <w:sz w:val="18"/>
                <w:szCs w:val="18"/>
                <w:color w:val="auto"/>
                <w:w w:val="99"/>
              </w:rPr>
              <w:t>29</w:t>
            </w: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80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00" w:type="dxa"/>
            <w:vAlign w:val="bottom"/>
            <w:tcBorders>
              <w:bottom w:val="single" w:sz="8" w:color="9A9A9A"/>
            </w:tcBorders>
          </w:tcPr>
          <w:p>
            <w:pPr>
              <w:spacing w:after="0"/>
              <w:rPr>
                <w:sz w:val="24"/>
                <w:szCs w:val="24"/>
                <w:color w:val="auto"/>
              </w:rPr>
            </w:pPr>
          </w:p>
        </w:tc>
        <w:tc>
          <w:tcPr>
            <w:tcW w:w="47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-3479800</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-3479800</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-3479800</wp:posOffset>
            </wp:positionV>
            <wp:extent cx="5969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-2562225</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-2562225</wp:posOffset>
            </wp:positionV>
            <wp:extent cx="685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-2562225</wp:posOffset>
            </wp:positionV>
            <wp:extent cx="5969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-1053465</wp:posOffset>
            </wp:positionV>
            <wp:extent cx="685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-1053465</wp:posOffset>
            </wp:positionV>
            <wp:extent cx="5969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color w:val="auto"/>
        </w:rPr>
        <w:t>MKS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200" w:lineRule="exact"/>
        <w:rPr>
          <w:sz w:val="20"/>
          <w:szCs w:val="20"/>
          <w:color w:val="auto"/>
        </w:rPr>
      </w:pPr>
    </w:p>
    <w:p>
      <w:pPr>
        <w:spacing w:after="0" w:line="2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Geographic Area</w:t>
      </w:r>
    </w:p>
    <w:p>
      <w:pPr>
        <w:spacing w:after="0" w:line="117" w:lineRule="exact"/>
        <w:rPr>
          <w:sz w:val="20"/>
          <w:szCs w:val="20"/>
          <w:color w:val="auto"/>
        </w:rPr>
      </w:pPr>
    </w:p>
    <w:p>
      <w:pPr>
        <w:ind w:left="760" w:right="160"/>
        <w:spacing w:after="0" w:line="266" w:lineRule="auto"/>
        <w:rPr>
          <w:sz w:val="20"/>
          <w:szCs w:val="20"/>
          <w:color w:val="auto"/>
        </w:rPr>
      </w:pPr>
      <w:r>
        <w:rPr>
          <w:rFonts w:ascii="Times New Roman" w:cs="Times New Roman" w:eastAsia="Times New Roman" w:hAnsi="Times New Roman"/>
          <w:sz w:val="18"/>
          <w:szCs w:val="18"/>
          <w:color w:val="auto"/>
        </w:rPr>
        <w:t>Information about the Company’s operations by geographic area is presented in the table below. Net revenues from unaffiliated customers are based on the shipped-to location of the end customer. Intercompany sales between geographic areas are recorded at tax transfer prices and have been eliminated from consolidated revenues.</w:t>
      </w:r>
    </w:p>
    <w:p>
      <w:pPr>
        <w:spacing w:after="0" w:line="117" w:lineRule="exact"/>
        <w:rPr>
          <w:sz w:val="20"/>
          <w:szCs w:val="20"/>
          <w:color w:val="auto"/>
        </w:rPr>
      </w:pPr>
    </w:p>
    <w:tbl>
      <w:tblPr>
        <w:tblLayout w:type="fixed"/>
        <w:tblInd w:w="800" w:type="dxa"/>
        <w:tblCellMar>
          <w:top w:w="0" w:type="dxa"/>
          <w:left w:w="0" w:type="dxa"/>
          <w:bottom w:w="0" w:type="dxa"/>
          <w:right w:w="0" w:type="dxa"/>
        </w:tblCellMar>
      </w:tblPr>
      <w:tr>
        <w:trPr>
          <w:trHeight w:val="171"/>
        </w:trPr>
        <w:tc>
          <w:tcPr>
            <w:tcW w:w="3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80" w:type="dxa"/>
            <w:vAlign w:val="bottom"/>
            <w:gridSpan w:val="4"/>
          </w:tcPr>
          <w:p>
            <w:pPr>
              <w:jc w:val="right"/>
              <w:ind w:right="132"/>
              <w:spacing w:after="0"/>
              <w:rPr>
                <w:sz w:val="20"/>
                <w:szCs w:val="20"/>
                <w:color w:val="auto"/>
              </w:rPr>
            </w:pPr>
            <w:r>
              <w:rPr>
                <w:rFonts w:ascii="Times New Roman" w:cs="Times New Roman" w:eastAsia="Times New Roman" w:hAnsi="Times New Roman"/>
                <w:sz w:val="14"/>
                <w:szCs w:val="14"/>
                <w:color w:val="auto"/>
              </w:rPr>
              <w:t>Three Months Ended September 30,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40" w:type="dxa"/>
            <w:vAlign w:val="bottom"/>
            <w:gridSpan w:val="5"/>
          </w:tcPr>
          <w:p>
            <w:pPr>
              <w:ind w:left="80"/>
              <w:spacing w:after="0"/>
              <w:rPr>
                <w:sz w:val="20"/>
                <w:szCs w:val="20"/>
                <w:color w:val="auto"/>
              </w:rPr>
            </w:pPr>
            <w:r>
              <w:rPr>
                <w:rFonts w:ascii="Times New Roman" w:cs="Times New Roman" w:eastAsia="Times New Roman" w:hAnsi="Times New Roman"/>
                <w:sz w:val="14"/>
                <w:szCs w:val="14"/>
                <w:color w:val="auto"/>
              </w:rPr>
              <w:t>Nine Months Ended September 30,</w:t>
            </w:r>
          </w:p>
        </w:tc>
        <w:tc>
          <w:tcPr>
            <w:tcW w:w="0" w:type="dxa"/>
            <w:vAlign w:val="bottom"/>
          </w:tcPr>
          <w:p>
            <w:pPr>
              <w:spacing w:after="0"/>
              <w:rPr>
                <w:sz w:val="1"/>
                <w:szCs w:val="1"/>
                <w:color w:val="auto"/>
              </w:rPr>
            </w:pPr>
          </w:p>
        </w:tc>
      </w:tr>
      <w:tr>
        <w:trPr>
          <w:trHeight w:val="196"/>
        </w:trPr>
        <w:tc>
          <w:tcPr>
            <w:tcW w:w="3080" w:type="dxa"/>
            <w:vAlign w:val="bottom"/>
            <w:vMerge w:val="continue"/>
          </w:tcPr>
          <w:p>
            <w:pPr>
              <w:spacing w:after="0"/>
              <w:rPr>
                <w:sz w:val="17"/>
                <w:szCs w:val="17"/>
                <w:color w:val="auto"/>
              </w:rPr>
            </w:pPr>
          </w:p>
        </w:tc>
        <w:tc>
          <w:tcPr>
            <w:tcW w:w="20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color w:val="auto"/>
              </w:rPr>
              <w:t>2026</w:t>
            </w:r>
          </w:p>
        </w:tc>
        <w:tc>
          <w:tcPr>
            <w:tcW w:w="22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color w:val="auto"/>
              </w:rPr>
              <w:t>2025</w:t>
            </w:r>
          </w:p>
        </w:tc>
        <w:tc>
          <w:tcPr>
            <w:tcW w:w="2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color w:val="auto"/>
              </w:rPr>
              <w:t>2026</w:t>
            </w:r>
          </w:p>
        </w:tc>
        <w:tc>
          <w:tcPr>
            <w:tcW w:w="20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c>
          <w:tcPr>
            <w:tcW w:w="2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4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South Korea</w:t>
            </w:r>
          </w:p>
        </w:tc>
        <w:tc>
          <w:tcPr>
            <w:tcW w:w="2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Malaysia</w:t>
            </w: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2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Singapore</w:t>
            </w: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Taiwan</w:t>
            </w:r>
          </w:p>
        </w:tc>
        <w:tc>
          <w:tcPr>
            <w:tcW w:w="2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spacing w:after="0"/>
              <w:rPr>
                <w:sz w:val="19"/>
                <w:szCs w:val="19"/>
                <w:color w:val="auto"/>
              </w:rPr>
            </w:pPr>
          </w:p>
        </w:tc>
        <w:tc>
          <w:tcPr>
            <w:tcW w:w="20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FF0FC"/>
            </w:tcBorders>
            <w:shd w:val="clear" w:color="auto" w:fill="CFF0FC"/>
          </w:tcPr>
          <w:p>
            <w:pPr>
              <w:spacing w:after="0" w:line="20" w:lineRule="exact"/>
              <w:rPr>
                <w:sz w:val="1"/>
                <w:szCs w:val="1"/>
                <w:color w:val="auto"/>
              </w:rPr>
            </w:pPr>
          </w:p>
        </w:tc>
        <w:tc>
          <w:tcPr>
            <w:tcW w:w="20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-24765</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685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-24765</wp:posOffset>
            </wp:positionV>
            <wp:extent cx="5969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5969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wp:posOffset>
            </wp:positionV>
            <wp:extent cx="5969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5969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90" w:lineRule="exact"/>
        <w:rPr>
          <w:sz w:val="20"/>
          <w:szCs w:val="20"/>
          <w:color w:val="auto"/>
        </w:rPr>
      </w:pPr>
    </w:p>
    <w:p>
      <w:pPr>
        <w:ind w:left="760" w:hanging="752"/>
        <w:spacing w:after="0"/>
        <w:tabs>
          <w:tab w:leader="none" w:pos="7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w:t>
      </w:r>
    </w:p>
    <w:p>
      <w:pPr>
        <w:spacing w:after="0" w:line="229" w:lineRule="exact"/>
        <w:rPr>
          <w:rFonts w:ascii="Times New Roman" w:cs="Times New Roman" w:eastAsia="Times New Roman" w:hAnsi="Times New Roman"/>
          <w:sz w:val="18"/>
          <w:szCs w:val="18"/>
          <w:b w:val="1"/>
          <w:bCs w:val="1"/>
          <w:color w:val="auto"/>
        </w:rPr>
      </w:pPr>
    </w:p>
    <w:p>
      <w:pPr>
        <w:ind w:left="760" w:right="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recorded restructuring charges of $2 and $10 in restructuring and other during the three and nine months ended September 30, 2026, respectively. These charges primarily related to the rationalization of certain facilities in Europe within PSD and VSD, which were initiated during the first and second quarters of 2026, respectively, and are expected to be completed in the first half of 2027. In addition, restructuring charges incurred during the nine months ended September 30, 2026 included severance costs related to the reorganization of certain PSD business units implemented in the first quarter of 2026. The Company recorded restructuring charges of $19 in restructuring and other during the nine months ended September 30, 2025, primarily related to severance costs incurred as a result of a global cost saving initiative implemented during the first quarter of 2025, mainly in the general metal finishing business within MSD. The Company recorded an immaterial amount of restructuring charges in restructuring and other during the three months ended September 30, 2025.</w:t>
      </w:r>
    </w:p>
    <w:p>
      <w:pPr>
        <w:spacing w:after="0" w:line="299" w:lineRule="exact"/>
        <w:rPr>
          <w:rFonts w:ascii="Times New Roman" w:cs="Times New Roman" w:eastAsia="Times New Roman" w:hAnsi="Times New Roman"/>
          <w:sz w:val="18"/>
          <w:szCs w:val="18"/>
          <w:b w:val="1"/>
          <w:bCs w:val="1"/>
          <w:color w:val="auto"/>
        </w:rPr>
      </w:pP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activity related to the Company’s restructuring accrual is shown below:</w:t>
      </w:r>
    </w:p>
    <w:p>
      <w:pPr>
        <w:spacing w:after="0" w:line="113" w:lineRule="exact"/>
        <w:rPr>
          <w:sz w:val="20"/>
          <w:szCs w:val="20"/>
          <w:color w:val="auto"/>
        </w:rPr>
      </w:pPr>
    </w:p>
    <w:tbl>
      <w:tblPr>
        <w:tblLayout w:type="fixed"/>
        <w:tblInd w:w="8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2700" w:type="dxa"/>
            <w:vAlign w:val="bottom"/>
            <w:tcBorders>
              <w:bottom w:val="single" w:sz="8" w:color="auto"/>
            </w:tcBorders>
            <w:gridSpan w:val="4"/>
          </w:tcPr>
          <w:p>
            <w:pPr>
              <w:jc w:val="right"/>
              <w:ind w:right="56"/>
              <w:spacing w:after="0"/>
              <w:rPr>
                <w:sz w:val="20"/>
                <w:szCs w:val="20"/>
                <w:color w:val="auto"/>
              </w:rPr>
            </w:pPr>
            <w:r>
              <w:rPr>
                <w:rFonts w:ascii="Times New Roman" w:cs="Times New Roman" w:eastAsia="Times New Roman" w:hAnsi="Times New Roman"/>
                <w:sz w:val="14"/>
                <w:szCs w:val="14"/>
                <w:color w:val="auto"/>
              </w:rPr>
              <w:t>Nine Months Ended September 30,</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1020" w:type="dxa"/>
            <w:vAlign w:val="bottom"/>
            <w:tcBorders>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color w:val="auto"/>
              </w:rPr>
              <w:t>2026</w:t>
            </w:r>
          </w:p>
        </w:tc>
        <w:tc>
          <w:tcPr>
            <w:tcW w:w="4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Borders>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4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1020" w:type="dxa"/>
            <w:vAlign w:val="bottom"/>
            <w:shd w:val="clear" w:color="auto" w:fill="CFF0FC"/>
          </w:tcPr>
          <w:p>
            <w:pPr>
              <w:jc w:val="right"/>
              <w:ind w:right="89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right w:val="single" w:sz="8" w:color="CFF0FC"/>
            </w:tcBorders>
            <w:shd w:val="clear" w:color="auto" w:fill="CFF0FC"/>
          </w:tcPr>
          <w:p>
            <w:pPr>
              <w:spacing w:after="0"/>
              <w:rPr>
                <w:sz w:val="18"/>
                <w:szCs w:val="18"/>
                <w:color w:val="auto"/>
              </w:rPr>
            </w:pPr>
          </w:p>
        </w:tc>
        <w:tc>
          <w:tcPr>
            <w:tcW w:w="1060" w:type="dxa"/>
            <w:vAlign w:val="bottom"/>
            <w:shd w:val="clear" w:color="auto" w:fill="CFF0FC"/>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Charged to expense</w:t>
            </w:r>
          </w:p>
        </w:tc>
        <w:tc>
          <w:tcPr>
            <w:tcW w:w="10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Payments and adjustments</w:t>
            </w:r>
          </w:p>
        </w:tc>
        <w:tc>
          <w:tcPr>
            <w:tcW w:w="1020" w:type="dxa"/>
            <w:vAlign w:val="bottom"/>
            <w:shd w:val="clear" w:color="auto" w:fill="CFF0FC"/>
          </w:tcPr>
          <w:p>
            <w:pPr>
              <w:spacing w:after="0"/>
              <w:rPr>
                <w:sz w:val="18"/>
                <w:szCs w:val="18"/>
                <w:color w:val="auto"/>
              </w:rPr>
            </w:pPr>
          </w:p>
        </w:tc>
        <w:tc>
          <w:tcPr>
            <w:tcW w:w="6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106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20" w:type="dxa"/>
            <w:vAlign w:val="bottom"/>
            <w:tcBorders>
              <w:right w:val="single" w:sz="8" w:color="CFF0FC"/>
            </w:tcBorders>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1020" w:type="dxa"/>
            <w:vAlign w:val="bottom"/>
          </w:tcPr>
          <w:p>
            <w:pPr>
              <w:jc w:val="right"/>
              <w:ind w:right="89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106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-170815</wp:posOffset>
            </wp:positionV>
            <wp:extent cx="6858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-170815</wp:posOffset>
            </wp:positionV>
            <wp:extent cx="5969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390" w:lineRule="exact"/>
        <w:rPr>
          <w:sz w:val="20"/>
          <w:szCs w:val="20"/>
          <w:color w:val="auto"/>
        </w:rPr>
      </w:pPr>
    </w:p>
    <w:p>
      <w:pPr>
        <w:ind w:left="760" w:right="7940" w:hanging="752"/>
        <w:spacing w:after="0" w:line="503" w:lineRule="auto"/>
        <w:tabs>
          <w:tab w:leader="none" w:pos="7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u w:val="single" w:color="auto"/>
          <w:color w:val="auto"/>
        </w:rPr>
        <w:t>Legal Proceedings</w:t>
      </w:r>
    </w:p>
    <w:p>
      <w:pPr>
        <w:ind w:left="760" w:right="2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subject to various legal proceedings and claims that have arisen in the ordinary course of business. In the opinion of management, the ultimate disposition of these matters will not have a material adverse effect on the Company’s results of operations, financial condition or cash flows.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0" w:name="page31"/>
    <w:bookmarkEnd w:id="30"/>
    <w:p>
      <w:pPr>
        <w:jc w:val="center"/>
        <w:ind w:right="-91"/>
        <w:spacing w:after="0"/>
        <w:rPr>
          <w:sz w:val="20"/>
          <w:szCs w:val="20"/>
          <w:color w:val="auto"/>
        </w:rPr>
      </w:pPr>
      <w:r>
        <w:rPr>
          <w:rFonts w:ascii="Times New Roman" w:cs="Times New Roman" w:eastAsia="Times New Roman" w:hAnsi="Times New Roman"/>
          <w:sz w:val="18"/>
          <w:szCs w:val="18"/>
          <w:color w:val="auto"/>
        </w:rPr>
        <w:t>MKS INC.</w:t>
      </w:r>
    </w:p>
    <w:p>
      <w:pPr>
        <w:spacing w:after="0" w:line="27"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200" w:lineRule="exact"/>
        <w:rPr>
          <w:sz w:val="20"/>
          <w:szCs w:val="20"/>
          <w:color w:val="auto"/>
        </w:rPr>
      </w:pPr>
    </w:p>
    <w:p>
      <w:pPr>
        <w:spacing w:after="0" w:line="219" w:lineRule="exact"/>
        <w:rPr>
          <w:sz w:val="20"/>
          <w:szCs w:val="20"/>
          <w:color w:val="auto"/>
        </w:rPr>
      </w:pPr>
    </w:p>
    <w:p>
      <w:pPr>
        <w:ind w:left="752" w:hanging="752"/>
        <w:spacing w:after="0"/>
        <w:tabs>
          <w:tab w:leader="none" w:pos="752"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42" w:lineRule="exact"/>
        <w:rPr>
          <w:rFonts w:ascii="Times New Roman" w:cs="Times New Roman" w:eastAsia="Times New Roman" w:hAnsi="Times New Roman"/>
          <w:sz w:val="18"/>
          <w:szCs w:val="18"/>
          <w:b w:val="1"/>
          <w:bCs w:val="1"/>
          <w:color w:val="auto"/>
        </w:rPr>
      </w:pPr>
    </w:p>
    <w:p>
      <w:pPr>
        <w:ind w:left="752"/>
        <w:spacing w:after="0" w:line="23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October 17, 2026, the Company entered into a definitive agreement to sell its Ophir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Optics business to TTM Technologies, Inc. in an all-cash transaction for a purchase price of $650, subject to customary closing adjustments. The Company expects to record a gain upon completion of the sale, but the amount of the gain has not yet been finalized.</w:t>
      </w:r>
    </w:p>
    <w:p>
      <w:pPr>
        <w:spacing w:after="0" w:line="91" w:lineRule="exact"/>
        <w:rPr>
          <w:rFonts w:ascii="Times New Roman" w:cs="Times New Roman" w:eastAsia="Times New Roman" w:hAnsi="Times New Roman"/>
          <w:sz w:val="18"/>
          <w:szCs w:val="18"/>
          <w:b w:val="1"/>
          <w:bCs w:val="1"/>
          <w:color w:val="auto"/>
        </w:rPr>
      </w:pPr>
    </w:p>
    <w:p>
      <w:pPr>
        <w:jc w:val="both"/>
        <w:ind w:left="752"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Ophir Optics business provides high-precision infrared thermal imaging and laser optics solutions to customers in the Company’s Specialty Industrial market, serving defense, security and industrial applications. The Ophir Optics business is a part of PSD. The transaction excludes the Company’s Ophir Instruments laser characterization business and the Ophir brand.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52"/>
          </w:cols>
          <w:pgMar w:left="328" w:top="769" w:right="4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p>
      <w:pPr>
        <w:spacing w:after="0" w:line="225" w:lineRule="exact"/>
        <w:rPr>
          <w:sz w:val="20"/>
          <w:szCs w:val="20"/>
          <w:color w:val="auto"/>
        </w:rPr>
      </w:pPr>
    </w:p>
    <w:p>
      <w:pPr>
        <w:ind w:left="760" w:right="20"/>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Section 27A of the Securities Act of 1933 and Section 21E of the Securities Exchange Act of 1934 regarding the future financial performance, business prospects and growth of MKS Inc. (“MKS,” the “Company,” “our,” or “we”). These statements are only predictions based on current assumptions and expectations. Any statements that are not statements of historical fact (including statements containing the words “will,” “projects,” “intends,” “believes,” “plans,” “anticipates,” “expects,” “estimates,” “forecasts,” “continues” and similar expressions) should be considered forward-looking statements. Actual events or results may differ materially from those in the forward-looking statements set forth herein.</w:t>
      </w:r>
    </w:p>
    <w:p>
      <w:pPr>
        <w:spacing w:after="0" w:line="81" w:lineRule="exact"/>
        <w:rPr>
          <w:sz w:val="20"/>
          <w:szCs w:val="20"/>
          <w:color w:val="auto"/>
        </w:rPr>
      </w:pPr>
    </w:p>
    <w:p>
      <w:pPr>
        <w:ind w:left="760"/>
        <w:spacing w:after="0" w:line="248" w:lineRule="auto"/>
        <w:rPr>
          <w:sz w:val="20"/>
          <w:szCs w:val="20"/>
          <w:color w:val="auto"/>
        </w:rPr>
      </w:pPr>
      <w:r>
        <w:rPr>
          <w:rFonts w:ascii="Times New Roman" w:cs="Times New Roman" w:eastAsia="Times New Roman" w:hAnsi="Times New Roman"/>
          <w:sz w:val="18"/>
          <w:szCs w:val="18"/>
          <w:color w:val="auto"/>
        </w:rPr>
        <w:t>Among the important factors that could cause actual events to differ materially from those in the forward-looking statements that we make are the level and terms of our substantial indebtedness and our ability to service such debt; risks related to pursuing, completing, and/or failing to realize the benefits of acquisitions and other strategic transactions, including the pending sale of our Ophir Optics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business; risks related to cybersecurity, data privacy and intellectual property; manufacturing and sourcing risks, including supply chain disruptions, component shortages and price increases, the use of limited, sole source and international suppliers, the relocation of manufacturing operations, and product defects; risks associated with doing business internationally, including geopolitical conflicts, trade compliance, trade protection measures, such as import tariffs by the United States and/or retaliatory actions taken by other countries, regulatory restrictions on our products, components or markets, particularly the semiconductor market, and unfavorable currency exchange and tax rate fluctuations; conditions affecting the markets in which we operate, including intense competition, rapid technological and market changes, dependence on new product development, the ability to anticipate and meet customer demand, fluctuations in capital spending in the semiconductor, electronics manufacturing and automotive industries, and fluctuations in sales to our major customers; disruptions or delays from third-party service providers upon which our operations may rely; risks associated with the attraction and retention of key personnel; potential fluctuations in quarterly results; volatility of stock price; risks associated with chemical manufacturing and environmental regulation compliance; risks associated with artificial intelligence (“AI”); financial and legal risk management; and the other important factors described under the heading “Risk Factors” in Part I, Item 1A of our Annual Report on Form 10-K for the year ended December 31, 2025 filed with the U.S. Securities and Exchange Commission on February 24, 2026 (“Annual Report”) and any subsequent Quarterly Reports on Form 10-Q. We are under no obligation to, and expressly disclaim any obligation to, update or alter these forward-looking statements, whether as a result of new information, future events or otherwise, even if subsequent events cause our views to change.</w:t>
      </w:r>
    </w:p>
    <w:p>
      <w:pPr>
        <w:spacing w:after="0" w:line="129" w:lineRule="exact"/>
        <w:rPr>
          <w:sz w:val="20"/>
          <w:szCs w:val="20"/>
          <w:color w:val="auto"/>
        </w:rPr>
      </w:pPr>
    </w:p>
    <w:p>
      <w:pPr>
        <w:ind w:left="760"/>
        <w:spacing w:after="0" w:line="254" w:lineRule="auto"/>
        <w:rPr>
          <w:sz w:val="20"/>
          <w:szCs w:val="20"/>
          <w:color w:val="auto"/>
        </w:rPr>
      </w:pPr>
      <w:r>
        <w:rPr>
          <w:rFonts w:ascii="Times New Roman" w:cs="Times New Roman" w:eastAsia="Times New Roman" w:hAnsi="Times New Roman"/>
          <w:sz w:val="18"/>
          <w:szCs w:val="18"/>
          <w:color w:val="auto"/>
        </w:rPr>
        <w:t>The Management’s Discussion and Analysis of Financial Condition and Results of Operations describes principal factors affecting the results of operations, financial condition, cash flows and liquidity, as well as our critical accounting policies and estimates that require significant judgment and thus have the most significant potential impact on our condensed consolidated financial statements, and is intended to better allow investors to view the Company from management’s perspective. This section focuses on material events and uncertainties known to management that are reasonably likely to cause reported financial information not to be necessarily indicative of our future operating results or of our future financial condition. This section provides an analysis of our financial results for the three months ended September 30, 2026 compared to the three months ended June 30, 2026, and the nine months ended September 30, 2026 compared to the nine months ended September 30, 2025. As a result of rounding, there may be immaterial differences in amounts presented and certain calculations may not sum to the total number expressed in each category or tie to a corresponding schedule.</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760" w:right="40"/>
        <w:spacing w:after="0" w:line="255" w:lineRule="auto"/>
        <w:rPr>
          <w:sz w:val="20"/>
          <w:szCs w:val="20"/>
          <w:color w:val="auto"/>
        </w:rPr>
      </w:pPr>
      <w:r>
        <w:rPr>
          <w:rFonts w:ascii="Times New Roman" w:cs="Times New Roman" w:eastAsia="Times New Roman" w:hAnsi="Times New Roman"/>
          <w:sz w:val="18"/>
          <w:szCs w:val="18"/>
          <w:color w:val="auto"/>
        </w:rPr>
        <w:t>MKS was founded in 1961 as a Massachusetts corporation. We enable technologies that transform our world. We deliver foundational technology solutions to leading edge semiconductor manufacturing, electronics and packaging, and specialty industrial applications. We apply our broad science and engineering capabilities to create instruments, subsystems, systems, process control solutions and specialty chemicals technology that improve process performance, optimize productivity and enable unique innovations for many of the world’s leading technology and industrial companies. Our solutions are critical to addressing the challenges of miniaturization and complexity in advanced device manufacturing by enabling increased power, speed, feature enhancement and optimized connectivity. Our solutions are also critical to addressing ever-increasing performance requirements across a wide array of specialty industrial applications.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Recent Events</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On October 17, 2026, we entered into a definitive agreement to sell our Ophir Optics business to TTM Technologies, Inc. in an all-cash transaction for a purchase price of $650 million, subject to customary closing adjustments. We expect to record a gain upon completion of the sale, but the amount of the gain has not yet been finalized.</w:t>
      </w:r>
    </w:p>
    <w:p>
      <w:pPr>
        <w:spacing w:after="0" w:line="6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Ophir Optics business provides high-precision infrared thermal imaging and laser optics solutions to customers in our Specialty Industrial market, serving defense, security and industrial applications. The Ophir Optics business is a part of PSD (as defined below). The transaction excludes our Ophir Instruments laser characterization business and the Ophir brand.</w:t>
      </w:r>
    </w:p>
    <w:p>
      <w:pPr>
        <w:spacing w:after="0" w:line="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transaction is expected to close in the second quarter of 2027, subject to customary closing conditions, including certain regulatory approvals and certain governmental consents and permits.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have three divisions, which are our reportable segments: Vacuum Solutions Division (“VSD”), Photonics Solutions Division (“PSD”) and Materials Solutions Division (“MSD”).</w:t>
      </w:r>
    </w:p>
    <w:p>
      <w:pPr>
        <w:spacing w:after="0" w:line="5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VSD delivers foundational technology solutions for semiconductor manufacturing, electronics and packaging and specialty industrial applications. VSD products are derived from our core competencies in vacuum technologies, including pressure measurement and control, flow measurement and control, gas and vapor delivery, gas composition analysis, electronic control technology, reactive gas generation and delivery, power generation and delivery, and fiber optic temperature and position sensing.</w:t>
      </w:r>
    </w:p>
    <w:p>
      <w:pPr>
        <w:spacing w:after="0" w:line="72"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PSD provides a broad range of instruments, components and subsystems to leading edge semiconductor manufacturing, electronics and packaging and specialty industrial applications. PSD products are derived from our core competencies in lasers, photonics, optics, precision motion control and vibration control.</w:t>
      </w:r>
    </w:p>
    <w:p>
      <w:pPr>
        <w:spacing w:after="0" w:line="6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MSD develops leading process and manufacturing technologies for advanced surface modification, electroless and electrolytic plating, and surface finishing. Applying a comprehensive systems-and-solutions approach, MSD’s portfolio includes chemistry, equipment and services for innovative and high-technology applications in our electronics and packaging and specialty industrial markets.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Revenues by End Market</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368"/>
              <w:spacing w:after="0"/>
              <w:rPr>
                <w:sz w:val="20"/>
                <w:szCs w:val="20"/>
                <w:color w:val="auto"/>
              </w:rPr>
            </w:pPr>
            <w:r>
              <w:rPr>
                <w:rFonts w:ascii="Times New Roman" w:cs="Times New Roman" w:eastAsia="Times New Roman" w:hAnsi="Times New Roman"/>
                <w:sz w:val="14"/>
                <w:szCs w:val="14"/>
                <w:color w:val="auto"/>
              </w:rPr>
              <w:t>Three Months Ended</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448"/>
              <w:spacing w:after="0"/>
              <w:rPr>
                <w:sz w:val="20"/>
                <w:szCs w:val="20"/>
                <w:color w:val="auto"/>
              </w:rPr>
            </w:pPr>
            <w:r>
              <w:rPr>
                <w:rFonts w:ascii="Times New Roman" w:cs="Times New Roman" w:eastAsia="Times New Roman" w:hAnsi="Times New Roman"/>
                <w:sz w:val="14"/>
                <w:szCs w:val="14"/>
                <w:color w:val="auto"/>
              </w:rPr>
              <w:t>Nine Months Ended</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980" w:type="dxa"/>
            <w:vAlign w:val="bottom"/>
            <w:gridSpan w:val="2"/>
          </w:tcPr>
          <w:p>
            <w:pPr>
              <w:jc w:val="right"/>
              <w:ind w:right="28"/>
              <w:spacing w:after="0" w:line="119" w:lineRule="exact"/>
              <w:rPr>
                <w:sz w:val="20"/>
                <w:szCs w:val="20"/>
                <w:color w:val="auto"/>
              </w:rPr>
            </w:pPr>
            <w:r>
              <w:rPr>
                <w:rFonts w:ascii="Times New Roman" w:cs="Times New Roman" w:eastAsia="Times New Roman" w:hAnsi="Times New Roman"/>
                <w:sz w:val="13"/>
                <w:szCs w:val="13"/>
                <w:color w:val="auto"/>
              </w:rPr>
              <w:t>September 30,</w:t>
            </w: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3"/>
                <w:szCs w:val="13"/>
                <w:color w:val="auto"/>
              </w:rPr>
              <w:t>September 30,</w:t>
            </w: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3"/>
                <w:szCs w:val="13"/>
                <w:color w:val="auto"/>
              </w:rPr>
              <w:t>September 30,</w:t>
            </w: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9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2026</w:t>
            </w:r>
          </w:p>
        </w:tc>
        <w:tc>
          <w:tcPr>
            <w:tcW w:w="200" w:type="dxa"/>
            <w:vAlign w:val="bottom"/>
          </w:tcPr>
          <w:p>
            <w:pPr>
              <w:spacing w:after="0"/>
              <w:rPr>
                <w:sz w:val="14"/>
                <w:szCs w:val="14"/>
                <w:color w:val="auto"/>
              </w:rPr>
            </w:pPr>
          </w:p>
        </w:tc>
        <w:tc>
          <w:tcPr>
            <w:tcW w:w="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 Total</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June 30, 2026</w:t>
            </w:r>
          </w:p>
        </w:tc>
        <w:tc>
          <w:tcPr>
            <w:tcW w:w="200" w:type="dxa"/>
            <w:vAlign w:val="bottom"/>
          </w:tcPr>
          <w:p>
            <w:pPr>
              <w:spacing w:after="0"/>
              <w:rPr>
                <w:sz w:val="14"/>
                <w:szCs w:val="14"/>
                <w:color w:val="auto"/>
              </w:rPr>
            </w:pPr>
          </w:p>
        </w:tc>
        <w:tc>
          <w:tcPr>
            <w:tcW w:w="8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 Total</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2026</w:t>
            </w:r>
          </w:p>
        </w:tc>
        <w:tc>
          <w:tcPr>
            <w:tcW w:w="200" w:type="dxa"/>
            <w:vAlign w:val="bottom"/>
          </w:tcPr>
          <w:p>
            <w:pPr>
              <w:spacing w:after="0"/>
              <w:rPr>
                <w:sz w:val="14"/>
                <w:szCs w:val="14"/>
                <w:color w:val="auto"/>
              </w:rPr>
            </w:pPr>
          </w:p>
        </w:tc>
        <w:tc>
          <w:tcPr>
            <w:tcW w:w="8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 Total</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2025</w:t>
            </w:r>
          </w:p>
        </w:tc>
        <w:tc>
          <w:tcPr>
            <w:tcW w:w="200" w:type="dxa"/>
            <w:vAlign w:val="bottom"/>
          </w:tcPr>
          <w:p>
            <w:pPr>
              <w:spacing w:after="0"/>
              <w:rPr>
                <w:sz w:val="14"/>
                <w:szCs w:val="14"/>
                <w:color w:val="auto"/>
              </w:rPr>
            </w:pPr>
          </w:p>
        </w:tc>
        <w:tc>
          <w:tcPr>
            <w:tcW w:w="7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 Total</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Semiconductor</w:t>
            </w:r>
          </w:p>
        </w:tc>
        <w:tc>
          <w:tcPr>
            <w:tcW w:w="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11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1240" w:type="dxa"/>
            <w:vAlign w:val="bottom"/>
            <w:tcBorders>
              <w:right w:val="single" w:sz="8" w:color="CFF0FC"/>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44%</w:t>
            </w:r>
          </w:p>
        </w:tc>
        <w:tc>
          <w:tcPr>
            <w:tcW w:w="18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1,658</w:t>
            </w:r>
          </w:p>
        </w:tc>
        <w:tc>
          <w:tcPr>
            <w:tcW w:w="12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44%</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1,261</w:t>
            </w:r>
          </w:p>
        </w:tc>
        <w:tc>
          <w:tcPr>
            <w:tcW w:w="10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Electronics and Packaging</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31%</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1,118</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30%</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809</w:t>
            </w: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Specialty Industrial</w:t>
            </w: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20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1240" w:type="dxa"/>
            <w:vAlign w:val="bottom"/>
            <w:tcBorders>
              <w:right w:val="single" w:sz="8" w:color="CFF0FC"/>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25%</w:t>
            </w: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963</w:t>
            </w:r>
          </w:p>
        </w:tc>
        <w:tc>
          <w:tcPr>
            <w:tcW w:w="12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26%</w:t>
            </w:r>
          </w:p>
        </w:tc>
        <w:tc>
          <w:tcPr>
            <w:tcW w:w="20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828</w:t>
            </w:r>
          </w:p>
        </w:tc>
        <w:tc>
          <w:tcPr>
            <w:tcW w:w="10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continue"/>
          </w:tcPr>
          <w:p>
            <w:pPr>
              <w:spacing w:after="0"/>
              <w:rPr>
                <w:sz w:val="13"/>
                <w:szCs w:val="13"/>
                <w:color w:val="auto"/>
              </w:rPr>
            </w:pPr>
          </w:p>
        </w:tc>
        <w:tc>
          <w:tcPr>
            <w:tcW w:w="196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Total net revenues</w:t>
            </w:r>
          </w:p>
        </w:tc>
        <w:tc>
          <w:tcPr>
            <w:tcW w:w="220" w:type="dxa"/>
            <w:vAlign w:val="bottom"/>
          </w:tcPr>
          <w:p>
            <w:pPr>
              <w:jc w:val="right"/>
              <w:ind w:right="7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1,413</w:t>
            </w:r>
          </w:p>
        </w:tc>
        <w:tc>
          <w:tcPr>
            <w:tcW w:w="200" w:type="dxa"/>
            <w:vAlign w:val="bottom"/>
          </w:tcPr>
          <w:p>
            <w:pPr>
              <w:spacing w:after="0"/>
              <w:rPr>
                <w:sz w:val="13"/>
                <w:szCs w:val="13"/>
                <w:color w:val="auto"/>
              </w:rPr>
            </w:pPr>
          </w:p>
        </w:tc>
        <w:tc>
          <w:tcPr>
            <w:tcW w:w="900" w:type="dxa"/>
            <w:vAlign w:val="bottom"/>
            <w:gridSpan w:val="2"/>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1,248</w:t>
            </w:r>
          </w:p>
        </w:tc>
        <w:tc>
          <w:tcPr>
            <w:tcW w:w="1240" w:type="dxa"/>
            <w:vAlign w:val="bottom"/>
            <w:gridSpan w:val="3"/>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100%</w:t>
            </w:r>
          </w:p>
        </w:tc>
        <w:tc>
          <w:tcPr>
            <w:tcW w:w="180" w:type="dxa"/>
            <w:vAlign w:val="bottom"/>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3,739</w:t>
            </w:r>
          </w:p>
        </w:tc>
        <w:tc>
          <w:tcPr>
            <w:tcW w:w="1240" w:type="dxa"/>
            <w:vAlign w:val="bottom"/>
            <w:gridSpan w:val="3"/>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100%</w:t>
            </w:r>
          </w:p>
        </w:tc>
        <w:tc>
          <w:tcPr>
            <w:tcW w:w="2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2,898</w:t>
            </w:r>
          </w:p>
        </w:tc>
        <w:tc>
          <w:tcPr>
            <w:tcW w:w="1060" w:type="dxa"/>
            <w:vAlign w:val="bottom"/>
            <w:gridSpan w:val="3"/>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1905635</wp:posOffset>
            </wp:positionH>
            <wp:positionV relativeFrom="paragraph">
              <wp:posOffset>-136525</wp:posOffset>
            </wp:positionV>
            <wp:extent cx="60325"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2454275</wp:posOffset>
            </wp:positionH>
            <wp:positionV relativeFrom="paragraph">
              <wp:posOffset>-136525</wp:posOffset>
            </wp:positionV>
            <wp:extent cx="8572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3242945</wp:posOffset>
            </wp:positionH>
            <wp:positionV relativeFrom="paragraph">
              <wp:posOffset>-136525</wp:posOffset>
            </wp:positionV>
            <wp:extent cx="5969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3868420</wp:posOffset>
            </wp:positionH>
            <wp:positionV relativeFrom="paragraph">
              <wp:posOffset>-136525</wp:posOffset>
            </wp:positionV>
            <wp:extent cx="85725"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4614545</wp:posOffset>
            </wp:positionH>
            <wp:positionV relativeFrom="paragraph">
              <wp:posOffset>-136525</wp:posOffset>
            </wp:positionV>
            <wp:extent cx="6032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5248910</wp:posOffset>
            </wp:positionH>
            <wp:positionV relativeFrom="paragraph">
              <wp:posOffset>-136525</wp:posOffset>
            </wp:positionV>
            <wp:extent cx="8572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5977255</wp:posOffset>
            </wp:positionH>
            <wp:positionV relativeFrom="paragraph">
              <wp:posOffset>-136525</wp:posOffset>
            </wp:positionV>
            <wp:extent cx="6032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6560185</wp:posOffset>
            </wp:positionH>
            <wp:positionV relativeFrom="paragraph">
              <wp:posOffset>-136525</wp:posOffset>
            </wp:positionV>
            <wp:extent cx="9398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Semiconductor Market</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are a critical solutions provider for semiconductor manufacturing. Our products are used in major semiconductor processing steps, such as deposition, etching, cleaning, lithography, metrology, and inspection. The semiconductor industry continually faces new challenges, as products become smaller, more powerful and highly mobile. Ultra-thin layers, smaller critical dimensions, new materials, 3D structures, and the ongoing need for higher yield and productivity drive the need for tighter process measurement and control, all of which we support. We believe we are the broadest critical subsystem provider in the wafer fabrication equipment (“WFE”) ecosystem and address over 85% of the market. We characterize our broad and unique offering as Surround the Wafer® to reflect the technology enablement we provide across almost every major process in semiconductor manufacturing today.</w:t>
      </w:r>
    </w:p>
    <w:p>
      <w:pPr>
        <w:spacing w:after="0" w:line="8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semiconductor market is subject to rapid demand shifts, which are difficult to predict, and we cannot be certain as to the timing or extent of future demand or any future softening in the semiconductor capital equipment industry. We are currently in a semiconductor ramp as demand for semiconductor chips is growing in the near term as a result of increased investments in AI transformation-related applications. In addition to these rapid demand shifts, the semiconductor capital equipment industry is currently subject to significant trade restrictions, especially in key markets, including China.</w:t>
      </w:r>
    </w:p>
    <w:p>
      <w:pPr>
        <w:spacing w:after="0" w:line="14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97" w:right="339" w:bottom="1440" w:gutter="0" w:footer="0" w:header="0"/>
        </w:sectPr>
      </w:pPr>
    </w:p>
    <w:bookmarkStart w:id="33" w:name="page34"/>
    <w:bookmarkEnd w:id="33"/>
    <w:p>
      <w:pPr>
        <w:ind w:right="60"/>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2026, net revenues in our semiconductor market increased by $84 million, or 15%, compared to the prior quarter, primarily due to higher sales of our semiconductor capital equipment serving deposition and etch applications and NAND memory production upgrades at VSD as well as higher sales of our lithography, metrology and inspection products at PSD.</w:t>
      </w:r>
    </w:p>
    <w:p>
      <w:pPr>
        <w:spacing w:after="0" w:line="6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2026, net revenues in our semiconductor market increased by $397 million, or 31%, compared to the same period in the prior year. This increase was mainly due to higher sales of our semiconductor capital equipment serving deposition and etch applications, NAND memory production upgrades and service revenues at VSD, as well as higher sales of our lithography, metrology and inspection products at PSD.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Electronics and Packaging Market</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are a foundational solutions provider for the electronics and packaging market. Our portfolio includes photonics components, laser drilling systems, electronics chemistries and plating equipment that are critical for the manufacturing of printed circuit boards (“PCB”) and package substrates, and critical to wafer level packaging (“WLP”) applications. Similar to the semiconductor industry, the PCB, package substrate and WLP industries demand smaller features, greater density, and better performance. In addition, the electronics and packaging market also includes sales of our vacuum and photonics solutions for display manufacturing applications. We characterize our complementary offering of laser systems and chemistry solutions as Optimize the Interconnect®, to reflect the unique technology enablement we provide at the Interconnect level within PCBs, package substrates and WLP. We are currently seeing increased investments driven by AI applications.</w:t>
      </w:r>
    </w:p>
    <w:p>
      <w:pPr>
        <w:spacing w:after="0" w:line="8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2026, net revenues in our electronics and packaging market increased by $34 million, or 9%, compared to the prior quarter primarily due to higher sales of chemistry and chemistry equipment at MSD, partially offset by lower seasonal sales of flexible PCB via drilling systems at PSD.</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2026, net revenues in our electronics and packaging market increased by $309 million, or 38%, compared to the same period in the prior year. This increase was primarily due to higher sales of chemistry and chemistry equipment at MSD and higher sales of flexible PCB via drilling systems at PSD.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Specialty Industrial Market</w:t>
      </w:r>
    </w:p>
    <w:p>
      <w:pPr>
        <w:spacing w:after="0" w:line="229"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Our strategy in the specialty industrial market is to leverage our domain expertise and proprietary technologies across a broad array of applications in industrial, life and health sciences, and research and defense markets.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Industrial</w:t>
      </w:r>
    </w:p>
    <w:p>
      <w:pPr>
        <w:spacing w:after="0" w:line="22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Industrial encompasses a wide range of diverse applications, including chemistries for functional coatings, surface finishing and wear resistance in the automobile industry, vacuum solutions for synthetic diamond manufacturing and photonics for solar manufacturing and datacom applications. Other applications include vacuum and photonics solutions for light emitting diode and laser diode manufacturing.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Life and Health Sciences</w:t>
      </w:r>
    </w:p>
    <w:p>
      <w:pPr>
        <w:spacing w:after="0" w:line="227"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Our products for life and health sciences are used in a diverse array of applications, including bioimaging, medical instrument sterilization, medical device manufacturing, analytical, diagnostic and surgical instrumentation, consumable medical supply manufacturing and pharmaceutical production.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Defense</w:t>
      </w:r>
    </w:p>
    <w:p>
      <w:pPr>
        <w:spacing w:after="0" w:line="22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products for research and defense are sold to government, university and industrial laboratories for applications involving research and development in materials science, physical chemistry, photonics, optics and electronics materials. Our products are also sold for monitoring and defense applications, including surveillance, imaging and infrastructure protection.</w:t>
      </w:r>
    </w:p>
    <w:p>
      <w:pPr>
        <w:spacing w:after="0" w:line="392" w:lineRule="exact"/>
        <w:rPr>
          <w:sz w:val="20"/>
          <w:szCs w:val="20"/>
          <w:color w:val="auto"/>
        </w:rPr>
      </w:pPr>
    </w:p>
    <w:p>
      <w:pPr>
        <w:jc w:val="both"/>
        <w:ind w:right="180"/>
        <w:spacing w:after="0" w:line="312" w:lineRule="auto"/>
        <w:rPr>
          <w:sz w:val="20"/>
          <w:szCs w:val="20"/>
          <w:color w:val="auto"/>
        </w:rPr>
      </w:pPr>
      <w:r>
        <w:rPr>
          <w:rFonts w:ascii="Times New Roman" w:cs="Times New Roman" w:eastAsia="Times New Roman" w:hAnsi="Times New Roman"/>
          <w:sz w:val="17"/>
          <w:szCs w:val="17"/>
          <w:color w:val="auto"/>
        </w:rPr>
        <w:t>For the three months ended September 30, 2026, net revenues in our specialty industrial market increased by $47 million, or 15%, compared to the prior quarter, mainly due to higher sales in datacom applications and research at PSD and general industrial applications primarily at MSD.</w:t>
      </w:r>
    </w:p>
    <w:p>
      <w:pPr>
        <w:spacing w:after="0" w:line="3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2026, net revenues in our specialty industrial market increased by $135 million, or 16%, compared to the same period in the prior year. This increase was primarily due to higher sales in datacom applications and defense applications at PSD and general industrial applications across all of our divisions.</w:t>
      </w:r>
    </w:p>
    <w:p>
      <w:pPr>
        <w:spacing w:after="0" w:line="24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9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Markets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 significant portion of our net revenues is from sales to customers in international markets. For the nine months ended September 30, 2026 and 2025, international net revenues accounted for approximately 82% and 81% respectively, of our total net revenues. We report geographical net revenues based on the shipped-to location of the end customer. A significant portion of our international net revenues was from customers in China, South Korea, Malaysia, Japan, Singapore and Taiwan. We expect international net revenues will continue to account for a significant percentage of total net revenues for the foreseeable future.</w:t>
      </w:r>
    </w:p>
    <w:p>
      <w:pPr>
        <w:spacing w:after="0" w:line="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Long-lived assets located outside of the United States accounted for approximately 69% and 70% of our total long-lived assets as of September 30, 2026 and December 31, 2025, respectively. Long-lived assets include property, plant and equipment, net, right-of-use assets and certain other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preparation of our consolidated financial statements and related disclosures in conformity with accounting principles generally accepted in the United States requires management to make judgments, assumptions and estimates that affect the amounts reported. There have been no material changes in our critical accounting policies since December 31, 2025.</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For further information about our critical accounting policies, please see the discussion of critical accounting policies in our Annual Report in the section captioned “Management’s Discussion and Analysis of Financial Condition and Results of Operations </w:t>
      </w:r>
      <w:r>
        <w:rPr>
          <w:rFonts w:ascii="Times New Roman" w:cs="Times New Roman" w:eastAsia="Times New Roman" w:hAnsi="Times New Roman"/>
          <w:sz w:val="18"/>
          <w:szCs w:val="18"/>
          <w:color w:val="333333"/>
        </w:rPr>
        <w:t>—</w:t>
      </w:r>
      <w:r>
        <w:rPr>
          <w:rFonts w:ascii="Times New Roman" w:cs="Times New Roman" w:eastAsia="Times New Roman" w:hAnsi="Times New Roman"/>
          <w:sz w:val="18"/>
          <w:szCs w:val="18"/>
          <w:color w:val="auto"/>
        </w:rPr>
        <w:t xml:space="preserve"> Critical Accounting Policies and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indicated, the percentage of total net revenues of certain line items included in our condensed consolidated statements of operations and comprehensive income (loss) data:</w:t>
      </w: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500" w:type="dxa"/>
            <w:vAlign w:val="bottom"/>
            <w:gridSpan w:val="4"/>
          </w:tcPr>
          <w:p>
            <w:pPr>
              <w:jc w:val="right"/>
              <w:ind w:right="1220"/>
              <w:spacing w:after="0"/>
              <w:rPr>
                <w:sz w:val="20"/>
                <w:szCs w:val="20"/>
                <w:color w:val="auto"/>
              </w:rPr>
            </w:pPr>
            <w:r>
              <w:rPr>
                <w:rFonts w:ascii="Times New Roman" w:cs="Times New Roman" w:eastAsia="Times New Roman" w:hAnsi="Times New Roman"/>
                <w:sz w:val="14"/>
                <w:szCs w:val="14"/>
                <w:color w:val="auto"/>
              </w:rPr>
              <w:t>Three Months Ended</w:t>
            </w:r>
          </w:p>
        </w:tc>
        <w:tc>
          <w:tcPr>
            <w:tcW w:w="100" w:type="dxa"/>
            <w:vAlign w:val="bottom"/>
          </w:tcPr>
          <w:p>
            <w:pPr>
              <w:spacing w:after="0"/>
              <w:rPr>
                <w:sz w:val="14"/>
                <w:szCs w:val="14"/>
                <w:color w:val="auto"/>
              </w:rPr>
            </w:pPr>
          </w:p>
        </w:tc>
        <w:tc>
          <w:tcPr>
            <w:tcW w:w="3520" w:type="dxa"/>
            <w:vAlign w:val="bottom"/>
            <w:gridSpan w:val="4"/>
          </w:tcPr>
          <w:p>
            <w:pPr>
              <w:jc w:val="right"/>
              <w:ind w:right="1260"/>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142"/>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900" w:type="dxa"/>
            <w:vAlign w:val="bottom"/>
            <w:tcBorders>
              <w:top w:val="single" w:sz="8" w:color="auto"/>
            </w:tcBorders>
            <w:gridSpan w:val="2"/>
          </w:tcPr>
          <w:p>
            <w:pPr>
              <w:jc w:val="right"/>
              <w:ind w:right="500"/>
              <w:spacing w:after="0" w:line="142" w:lineRule="exact"/>
              <w:rPr>
                <w:sz w:val="20"/>
                <w:szCs w:val="20"/>
                <w:color w:val="auto"/>
              </w:rPr>
            </w:pPr>
            <w:r>
              <w:rPr>
                <w:rFonts w:ascii="Times New Roman" w:cs="Times New Roman" w:eastAsia="Times New Roman" w:hAnsi="Times New Roman"/>
                <w:sz w:val="14"/>
                <w:szCs w:val="14"/>
                <w:color w:val="auto"/>
              </w:rPr>
              <w:t>September 30, 2026</w:t>
            </w:r>
          </w:p>
        </w:tc>
        <w:tc>
          <w:tcPr>
            <w:tcW w:w="1460" w:type="dxa"/>
            <w:vAlign w:val="bottom"/>
            <w:tcBorders>
              <w:top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color w:val="auto"/>
              </w:rPr>
              <w:t>June 30, 2026</w:t>
            </w: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gridSpan w:val="2"/>
          </w:tcPr>
          <w:p>
            <w:pPr>
              <w:jc w:val="right"/>
              <w:ind w:right="500"/>
              <w:spacing w:after="0" w:line="142" w:lineRule="exact"/>
              <w:rPr>
                <w:sz w:val="20"/>
                <w:szCs w:val="20"/>
                <w:color w:val="auto"/>
              </w:rPr>
            </w:pPr>
            <w:r>
              <w:rPr>
                <w:rFonts w:ascii="Times New Roman" w:cs="Times New Roman" w:eastAsia="Times New Roman" w:hAnsi="Times New Roman"/>
                <w:sz w:val="14"/>
                <w:szCs w:val="14"/>
                <w:color w:val="auto"/>
              </w:rPr>
              <w:t>September 30, 2026</w:t>
            </w:r>
          </w:p>
        </w:tc>
        <w:tc>
          <w:tcPr>
            <w:tcW w:w="1460" w:type="dxa"/>
            <w:vAlign w:val="bottom"/>
            <w:tcBorders>
              <w:top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color w:val="auto"/>
              </w:rPr>
              <w:t>September 30, 2025</w:t>
            </w:r>
          </w:p>
        </w:tc>
        <w:tc>
          <w:tcPr>
            <w:tcW w:w="14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revenues:</w:t>
            </w:r>
          </w:p>
        </w:tc>
        <w:tc>
          <w:tcPr>
            <w:tcW w:w="166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8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Product</w:t>
            </w: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89.5%</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88.5%</w:t>
            </w:r>
          </w:p>
        </w:tc>
        <w:tc>
          <w:tcPr>
            <w:tcW w:w="20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88.8%</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87.2%</w:t>
            </w:r>
          </w:p>
        </w:tc>
      </w:tr>
      <w:tr>
        <w:trPr>
          <w:trHeight w:val="203"/>
        </w:trPr>
        <w:tc>
          <w:tcPr>
            <w:tcW w:w="20" w:type="dxa"/>
            <w:vAlign w:val="bottom"/>
          </w:tcPr>
          <w:p>
            <w:pPr>
              <w:spacing w:after="0"/>
              <w:rPr>
                <w:sz w:val="17"/>
                <w:szCs w:val="17"/>
                <w:color w:val="auto"/>
              </w:rPr>
            </w:pPr>
          </w:p>
        </w:tc>
        <w:tc>
          <w:tcPr>
            <w:tcW w:w="33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Service</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240" w:type="dxa"/>
            <w:vAlign w:val="bottom"/>
            <w:tcBorders>
              <w:bottom w:val="single" w:sz="8" w:color="CFF0FC"/>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40" w:type="dxa"/>
            <w:vAlign w:val="bottom"/>
            <w:tcBorders>
              <w:bottom w:val="single" w:sz="8" w:color="CFF0FC"/>
            </w:tcBorders>
            <w:shd w:val="clear" w:color="auto" w:fill="CFF0FC"/>
          </w:tcPr>
          <w:p>
            <w:pPr>
              <w:spacing w:after="0"/>
              <w:rPr>
                <w:sz w:val="17"/>
                <w:szCs w:val="17"/>
                <w:color w:val="auto"/>
              </w:rPr>
            </w:pPr>
          </w:p>
        </w:tc>
        <w:tc>
          <w:tcPr>
            <w:tcW w:w="17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240" w:type="dxa"/>
            <w:vAlign w:val="bottom"/>
            <w:tcBorders>
              <w:bottom w:val="single" w:sz="8" w:color="CFF0FC"/>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40" w:type="dxa"/>
            <w:vAlign w:val="bottom"/>
            <w:tcBorders>
              <w:bottom w:val="single" w:sz="8" w:color="CFF0FC"/>
            </w:tcBorders>
            <w:shd w:val="clear" w:color="auto" w:fill="CFF0FC"/>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net revenues</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40" w:type="dxa"/>
            <w:vAlign w:val="bottom"/>
          </w:tcPr>
          <w:p>
            <w:pPr>
              <w:spacing w:after="0"/>
              <w:rPr>
                <w:sz w:val="17"/>
                <w:szCs w:val="17"/>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16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 of product revenues</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40" w:type="dxa"/>
            <w:vAlign w:val="bottom"/>
          </w:tcPr>
          <w:p>
            <w:pPr>
              <w:spacing w:after="0"/>
              <w:rPr>
                <w:sz w:val="17"/>
                <w:szCs w:val="17"/>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Cost of service revenues</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4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40" w:type="dxa"/>
            <w:vAlign w:val="bottom"/>
            <w:shd w:val="clear" w:color="auto" w:fill="CFF0FC"/>
          </w:tcPr>
          <w:p>
            <w:pPr>
              <w:spacing w:after="0"/>
              <w:rPr>
                <w:sz w:val="17"/>
                <w:szCs w:val="17"/>
                <w:color w:val="auto"/>
              </w:rPr>
            </w:pPr>
          </w:p>
        </w:tc>
      </w:tr>
      <w:tr>
        <w:trPr>
          <w:trHeight w:val="182"/>
        </w:trPr>
        <w:tc>
          <w:tcPr>
            <w:tcW w:w="20" w:type="dxa"/>
            <w:vAlign w:val="bottom"/>
          </w:tcPr>
          <w:p>
            <w:pPr>
              <w:spacing w:after="0"/>
              <w:rPr>
                <w:sz w:val="15"/>
                <w:szCs w:val="15"/>
                <w:color w:val="auto"/>
              </w:rPr>
            </w:pPr>
          </w:p>
        </w:tc>
        <w:tc>
          <w:tcPr>
            <w:tcW w:w="3300" w:type="dxa"/>
            <w:vAlign w:val="bottom"/>
            <w:tcBorders>
              <w:top w:val="single" w:sz="8" w:color="CFF0FC"/>
            </w:tcBorders>
          </w:tcPr>
          <w:p>
            <w:pPr>
              <w:ind w:left="100"/>
              <w:spacing w:after="0" w:line="182" w:lineRule="exact"/>
              <w:rPr>
                <w:sz w:val="20"/>
                <w:szCs w:val="20"/>
                <w:color w:val="auto"/>
              </w:rPr>
            </w:pPr>
            <w:r>
              <w:rPr>
                <w:rFonts w:ascii="Times New Roman" w:cs="Times New Roman" w:eastAsia="Times New Roman" w:hAnsi="Times New Roman"/>
                <w:sz w:val="16"/>
                <w:szCs w:val="16"/>
                <w:color w:val="auto"/>
              </w:rPr>
              <w:t>Total cost of revenues (exclusive of</w:t>
            </w:r>
          </w:p>
        </w:tc>
        <w:tc>
          <w:tcPr>
            <w:tcW w:w="166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68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3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amortization shown separately below)</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4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14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40" w:type="dxa"/>
            <w:vAlign w:val="bottom"/>
            <w:shd w:val="clear" w:color="auto" w:fill="CFF0FC"/>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40" w:type="dxa"/>
            <w:vAlign w:val="bottom"/>
          </w:tcPr>
          <w:p>
            <w:pPr>
              <w:spacing w:after="0"/>
              <w:rPr>
                <w:sz w:val="17"/>
                <w:szCs w:val="17"/>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4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4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Restructuring and other</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40" w:type="dxa"/>
            <w:vAlign w:val="bottom"/>
          </w:tcPr>
          <w:p>
            <w:pPr>
              <w:spacing w:after="0"/>
              <w:rPr>
                <w:sz w:val="17"/>
                <w:szCs w:val="17"/>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Legal settlement</w:t>
            </w:r>
          </w:p>
        </w:tc>
        <w:tc>
          <w:tcPr>
            <w:tcW w:w="19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0" w:type="dxa"/>
            <w:vAlign w:val="bottom"/>
          </w:tcPr>
          <w:p>
            <w:pPr>
              <w:spacing w:after="0"/>
              <w:rPr>
                <w:sz w:val="17"/>
                <w:szCs w:val="17"/>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Fees and expenses related to debt activities</w:t>
            </w:r>
          </w:p>
        </w:tc>
        <w:tc>
          <w:tcPr>
            <w:tcW w:w="19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40" w:type="dxa"/>
            <w:vAlign w:val="bottom"/>
            <w:tcBorders>
              <w:bottom w:val="single" w:sz="8" w:color="CFF0FC"/>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40" w:type="dxa"/>
            <w:vAlign w:val="bottom"/>
            <w:tcBorders>
              <w:bottom w:val="single" w:sz="8" w:color="CFF0FC"/>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40" w:type="dxa"/>
            <w:vAlign w:val="bottom"/>
            <w:tcBorders>
              <w:bottom w:val="single" w:sz="8" w:color="CFF0FC"/>
            </w:tcBorders>
            <w:shd w:val="clear" w:color="auto" w:fill="CFF0FC"/>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Income from operations</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40" w:type="dxa"/>
            <w:vAlign w:val="bottom"/>
          </w:tcPr>
          <w:p>
            <w:pPr>
              <w:spacing w:after="0"/>
              <w:rPr>
                <w:sz w:val="17"/>
                <w:szCs w:val="17"/>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(0.1)</w:t>
            </w: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(0.2)</w:t>
            </w:r>
          </w:p>
        </w:tc>
        <w:tc>
          <w:tcPr>
            <w:tcW w:w="20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(0.2)</w:t>
            </w: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(0.4)</w:t>
            </w:r>
          </w:p>
        </w:tc>
      </w:tr>
      <w:tr>
        <w:trPr>
          <w:trHeight w:val="203"/>
        </w:trPr>
        <w:tc>
          <w:tcPr>
            <w:tcW w:w="20" w:type="dxa"/>
            <w:vAlign w:val="bottom"/>
          </w:tcPr>
          <w:p>
            <w:pPr>
              <w:spacing w:after="0"/>
              <w:rPr>
                <w:sz w:val="17"/>
                <w:szCs w:val="17"/>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40" w:type="dxa"/>
            <w:vAlign w:val="bottom"/>
          </w:tcPr>
          <w:p>
            <w:pPr>
              <w:spacing w:after="0"/>
              <w:rPr>
                <w:sz w:val="17"/>
                <w:szCs w:val="17"/>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4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4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(0.1)</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(0.2)</w:t>
            </w:r>
          </w:p>
        </w:tc>
        <w:tc>
          <w:tcPr>
            <w:tcW w:w="20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(0.1)</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240" w:type="dxa"/>
            <w:vAlign w:val="bottom"/>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240" w:type="dxa"/>
            <w:vAlign w:val="bottom"/>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4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40" w:type="dxa"/>
            <w:vAlign w:val="bottom"/>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40" w:type="dxa"/>
            <w:vAlign w:val="bottom"/>
          </w:tcPr>
          <w:p>
            <w:pPr>
              <w:spacing w:after="0"/>
              <w:rPr>
                <w:sz w:val="17"/>
                <w:szCs w:val="17"/>
                <w:color w:val="auto"/>
              </w:rPr>
            </w:pPr>
          </w:p>
        </w:tc>
        <w:tc>
          <w:tcPr>
            <w:tcW w:w="1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40" w:type="dxa"/>
            <w:vAlign w:val="bottom"/>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1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16.7%</w:t>
            </w:r>
          </w:p>
        </w:tc>
        <w:tc>
          <w:tcPr>
            <w:tcW w:w="1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14.0%</w:t>
            </w:r>
          </w:p>
        </w:tc>
        <w:tc>
          <w:tcPr>
            <w:tcW w:w="20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13.2%</w:t>
            </w:r>
          </w:p>
        </w:tc>
        <w:tc>
          <w:tcPr>
            <w:tcW w:w="1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6.5%</w:t>
            </w:r>
          </w:p>
        </w:tc>
      </w:tr>
      <w:tr>
        <w:trPr>
          <w:trHeight w:val="20"/>
        </w:trPr>
        <w:tc>
          <w:tcPr>
            <w:tcW w:w="20" w:type="dxa"/>
            <w:vAlign w:val="bottom"/>
          </w:tcPr>
          <w:p>
            <w:pPr>
              <w:spacing w:after="0" w:line="20" w:lineRule="exact"/>
              <w:rPr>
                <w:sz w:val="1"/>
                <w:szCs w:val="1"/>
                <w:color w:val="auto"/>
              </w:rPr>
            </w:pPr>
          </w:p>
        </w:tc>
        <w:tc>
          <w:tcPr>
            <w:tcW w:w="3300" w:type="dxa"/>
            <w:vAlign w:val="bottom"/>
            <w:tcBorders>
              <w:top w:val="single" w:sz="8" w:color="CFF0FC"/>
            </w:tcBorders>
            <w:shd w:val="clear" w:color="auto" w:fill="CFF0FC"/>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3182620</wp:posOffset>
            </wp:positionH>
            <wp:positionV relativeFrom="paragraph">
              <wp:posOffset>-2767965</wp:posOffset>
            </wp:positionV>
            <wp:extent cx="9398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4262755</wp:posOffset>
            </wp:positionH>
            <wp:positionV relativeFrom="paragraph">
              <wp:posOffset>-2767965</wp:posOffset>
            </wp:positionV>
            <wp:extent cx="9398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5480050</wp:posOffset>
            </wp:positionH>
            <wp:positionV relativeFrom="paragraph">
              <wp:posOffset>-2767965</wp:posOffset>
            </wp:positionV>
            <wp:extent cx="9461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6560185</wp:posOffset>
            </wp:positionH>
            <wp:positionV relativeFrom="paragraph">
              <wp:posOffset>-2767965</wp:posOffset>
            </wp:positionV>
            <wp:extent cx="9398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3182620</wp:posOffset>
            </wp:positionH>
            <wp:positionV relativeFrom="paragraph">
              <wp:posOffset>-2245360</wp:posOffset>
            </wp:positionV>
            <wp:extent cx="939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4262755</wp:posOffset>
            </wp:positionH>
            <wp:positionV relativeFrom="paragraph">
              <wp:posOffset>-2245360</wp:posOffset>
            </wp:positionV>
            <wp:extent cx="939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5480050</wp:posOffset>
            </wp:positionH>
            <wp:positionV relativeFrom="paragraph">
              <wp:posOffset>-2245360</wp:posOffset>
            </wp:positionV>
            <wp:extent cx="9461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6560185</wp:posOffset>
            </wp:positionH>
            <wp:positionV relativeFrom="paragraph">
              <wp:posOffset>-2245360</wp:posOffset>
            </wp:positionV>
            <wp:extent cx="939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3182620</wp:posOffset>
            </wp:positionH>
            <wp:positionV relativeFrom="paragraph">
              <wp:posOffset>-1079500</wp:posOffset>
            </wp:positionV>
            <wp:extent cx="9398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4262755</wp:posOffset>
            </wp:positionH>
            <wp:positionV relativeFrom="paragraph">
              <wp:posOffset>-1079500</wp:posOffset>
            </wp:positionV>
            <wp:extent cx="939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5480050</wp:posOffset>
            </wp:positionH>
            <wp:positionV relativeFrom="paragraph">
              <wp:posOffset>-1079500</wp:posOffset>
            </wp:positionV>
            <wp:extent cx="9461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6560185</wp:posOffset>
            </wp:positionH>
            <wp:positionV relativeFrom="paragraph">
              <wp:posOffset>-1079500</wp:posOffset>
            </wp:positionV>
            <wp:extent cx="939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3182620</wp:posOffset>
            </wp:positionH>
            <wp:positionV relativeFrom="paragraph">
              <wp:posOffset>-24765</wp:posOffset>
            </wp:positionV>
            <wp:extent cx="9398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3182620</wp:posOffset>
            </wp:positionH>
            <wp:positionV relativeFrom="paragraph">
              <wp:posOffset>-7620</wp:posOffset>
            </wp:positionV>
            <wp:extent cx="939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4262755</wp:posOffset>
            </wp:positionH>
            <wp:positionV relativeFrom="paragraph">
              <wp:posOffset>-24765</wp:posOffset>
            </wp:positionV>
            <wp:extent cx="9398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4262755</wp:posOffset>
            </wp:positionH>
            <wp:positionV relativeFrom="paragraph">
              <wp:posOffset>-7620</wp:posOffset>
            </wp:positionV>
            <wp:extent cx="9398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5480050</wp:posOffset>
            </wp:positionH>
            <wp:positionV relativeFrom="paragraph">
              <wp:posOffset>-24765</wp:posOffset>
            </wp:positionV>
            <wp:extent cx="94615"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5480050</wp:posOffset>
            </wp:positionH>
            <wp:positionV relativeFrom="paragraph">
              <wp:posOffset>-7620</wp:posOffset>
            </wp:positionV>
            <wp:extent cx="9461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6560185</wp:posOffset>
            </wp:positionH>
            <wp:positionV relativeFrom="paragraph">
              <wp:posOffset>-24765</wp:posOffset>
            </wp:positionV>
            <wp:extent cx="9398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6560185</wp:posOffset>
            </wp:positionH>
            <wp:positionV relativeFrom="paragraph">
              <wp:posOffset>-7620</wp:posOffset>
            </wp:positionV>
            <wp:extent cx="9398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35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9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The following table sets forth our net revenues for product and service: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Revenues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7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0" w:type="dxa"/>
            <w:vAlign w:val="bottom"/>
            <w:gridSpan w:val="4"/>
          </w:tcPr>
          <w:p>
            <w:pPr>
              <w:jc w:val="right"/>
              <w:ind w:right="761"/>
              <w:spacing w:after="0"/>
              <w:rPr>
                <w:sz w:val="20"/>
                <w:szCs w:val="20"/>
                <w:color w:val="auto"/>
              </w:rPr>
            </w:pPr>
            <w:r>
              <w:rPr>
                <w:rFonts w:ascii="Times New Roman" w:cs="Times New Roman" w:eastAsia="Times New Roman" w:hAnsi="Times New Roman"/>
                <w:sz w:val="14"/>
                <w:szCs w:val="14"/>
                <w:color w:val="auto"/>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500" w:type="dxa"/>
            <w:vAlign w:val="bottom"/>
            <w:gridSpan w:val="5"/>
          </w:tcPr>
          <w:p>
            <w:pPr>
              <w:ind w:left="380"/>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142"/>
        </w:trPr>
        <w:tc>
          <w:tcPr>
            <w:tcW w:w="2780" w:type="dxa"/>
            <w:vAlign w:val="bottom"/>
            <w:vMerge w:val="continue"/>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23"/>
              <w:spacing w:after="0" w:line="142" w:lineRule="exact"/>
              <w:rPr>
                <w:sz w:val="20"/>
                <w:szCs w:val="20"/>
                <w:color w:val="auto"/>
              </w:rPr>
            </w:pPr>
            <w:r>
              <w:rPr>
                <w:rFonts w:ascii="Times New Roman" w:cs="Times New Roman" w:eastAsia="Times New Roman" w:hAnsi="Times New Roman"/>
                <w:sz w:val="14"/>
                <w:szCs w:val="14"/>
                <w:color w:val="auto"/>
              </w:rPr>
              <w:t>September 30, 2026</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181"/>
              <w:spacing w:after="0" w:line="142" w:lineRule="exact"/>
              <w:rPr>
                <w:sz w:val="20"/>
                <w:szCs w:val="20"/>
                <w:color w:val="auto"/>
              </w:rPr>
            </w:pPr>
            <w:r>
              <w:rPr>
                <w:rFonts w:ascii="Times New Roman" w:cs="Times New Roman" w:eastAsia="Times New Roman" w:hAnsi="Times New Roman"/>
                <w:sz w:val="14"/>
                <w:szCs w:val="14"/>
                <w:color w:val="auto"/>
              </w:rPr>
              <w:t>June 30, 2026</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20" w:type="dxa"/>
            <w:vAlign w:val="bottom"/>
            <w:tcBorders>
              <w:top w:val="single" w:sz="8" w:color="auto"/>
              <w:bottom w:val="single" w:sz="8" w:color="auto"/>
            </w:tcBorders>
            <w:gridSpan w:val="2"/>
          </w:tcPr>
          <w:p>
            <w:pPr>
              <w:jc w:val="right"/>
              <w:ind w:right="21"/>
              <w:spacing w:after="0" w:line="142" w:lineRule="exact"/>
              <w:rPr>
                <w:sz w:val="20"/>
                <w:szCs w:val="20"/>
                <w:color w:val="auto"/>
              </w:rPr>
            </w:pPr>
            <w:r>
              <w:rPr>
                <w:rFonts w:ascii="Times New Roman" w:cs="Times New Roman" w:eastAsia="Times New Roman" w:hAnsi="Times New Roman"/>
                <w:sz w:val="14"/>
                <w:szCs w:val="14"/>
                <w:color w:val="auto"/>
              </w:rPr>
              <w:t>September 30, 2026</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21"/>
              <w:spacing w:after="0" w:line="142" w:lineRule="exact"/>
              <w:rPr>
                <w:sz w:val="20"/>
                <w:szCs w:val="20"/>
                <w:color w:val="auto"/>
              </w:rPr>
            </w:pPr>
            <w:r>
              <w:rPr>
                <w:rFonts w:ascii="Times New Roman" w:cs="Times New Roman" w:eastAsia="Times New Roman" w:hAnsi="Times New Roman"/>
                <w:sz w:val="14"/>
                <w:szCs w:val="14"/>
                <w:color w:val="auto"/>
              </w:rPr>
              <w:t>September 30, 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Product</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1,264</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1,104</w:t>
            </w:r>
          </w:p>
        </w:tc>
        <w:tc>
          <w:tcPr>
            <w:tcW w:w="680" w:type="dxa"/>
            <w:vAlign w:val="bottom"/>
            <w:gridSpan w:val="3"/>
            <w:shd w:val="clear" w:color="auto" w:fill="CFF0FC"/>
          </w:tcPr>
          <w:p>
            <w:pPr>
              <w:jc w:val="right"/>
              <w:ind w:right="308"/>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3,322</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2,528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Service</w:t>
            </w:r>
          </w:p>
        </w:tc>
        <w:tc>
          <w:tcPr>
            <w:tcW w:w="16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net revenues</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1,413</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1,248</w:t>
            </w:r>
          </w:p>
        </w:tc>
        <w:tc>
          <w:tcPr>
            <w:tcW w:w="680" w:type="dxa"/>
            <w:vAlign w:val="bottom"/>
            <w:gridSpan w:val="3"/>
            <w:shd w:val="clear" w:color="auto" w:fill="CFF0FC"/>
          </w:tcPr>
          <w:p>
            <w:pPr>
              <w:jc w:val="right"/>
              <w:ind w:right="308"/>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3,739</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80" w:type="dxa"/>
            <w:vAlign w:val="bottom"/>
            <w:tcBorders>
              <w:top w:val="single" w:sz="8" w:color="CFF0FC"/>
            </w:tcBorders>
            <w:shd w:val="clear" w:color="auto" w:fill="CFF0FC"/>
          </w:tcPr>
          <w:p>
            <w:pPr>
              <w:spacing w:after="0" w:line="20" w:lineRule="exact"/>
              <w:rPr>
                <w:sz w:val="1"/>
                <w:szCs w:val="1"/>
                <w:color w:val="auto"/>
              </w:rPr>
            </w:pPr>
          </w:p>
        </w:tc>
        <w:tc>
          <w:tcPr>
            <w:tcW w:w="16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3654425</wp:posOffset>
            </wp:positionH>
            <wp:positionV relativeFrom="paragraph">
              <wp:posOffset>-24765</wp:posOffset>
            </wp:positionV>
            <wp:extent cx="6858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3654425</wp:posOffset>
            </wp:positionH>
            <wp:positionV relativeFrom="paragraph">
              <wp:posOffset>-7620</wp:posOffset>
            </wp:positionV>
            <wp:extent cx="685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4639945</wp:posOffset>
            </wp:positionH>
            <wp:positionV relativeFrom="paragraph">
              <wp:posOffset>-24765</wp:posOffset>
            </wp:positionV>
            <wp:extent cx="685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4639945</wp:posOffset>
            </wp:positionH>
            <wp:positionV relativeFrom="paragraph">
              <wp:posOffset>-7620</wp:posOffset>
            </wp:positionV>
            <wp:extent cx="6858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5608955</wp:posOffset>
            </wp:positionH>
            <wp:positionV relativeFrom="paragraph">
              <wp:posOffset>-24765</wp:posOffset>
            </wp:positionV>
            <wp:extent cx="6032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5608955</wp:posOffset>
            </wp:positionH>
            <wp:positionV relativeFrom="paragraph">
              <wp:posOffset>-7620</wp:posOffset>
            </wp:positionV>
            <wp:extent cx="6032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6594475</wp:posOffset>
            </wp:positionH>
            <wp:positionV relativeFrom="paragraph">
              <wp:posOffset>-24765</wp:posOffset>
            </wp:positionV>
            <wp:extent cx="5969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6594475</wp:posOffset>
            </wp:positionH>
            <wp:positionV relativeFrom="paragraph">
              <wp:posOffset>-7620</wp:posOffset>
            </wp:positionV>
            <wp:extent cx="5969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2026, net product revenues increased $160 million compared to the prior quarter primarily due to higher sales of our semiconductor capital equipment serving deposition and etch applications as well as higher NAND memory production upgrades at VSD, higher sales of chemistry and chemistry equipment at MSD, and higher sales of datacom applications and lithography, metrology and inspection products at PSD.</w:t>
      </w:r>
    </w:p>
    <w:p>
      <w:pPr>
        <w:spacing w:after="0" w:line="7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2026, net product revenues increased $794 million compared to the same period in the prior year, primarily as a result of higher sales of semiconductor capital equipment serving deposition and etch applications and NAND memory production upgrades at VSD, higher sales of chemistry and chemistry equipment at MSD, and higher sales of flexible PCB via drilling systems, datacom applications and lithography, metrology and inspection products at PSD.</w:t>
      </w:r>
    </w:p>
    <w:p>
      <w:pPr>
        <w:spacing w:after="0" w:line="7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Net service revenues consisted mainly of fees for services related to the maintenance and repair of our products, sales of spare parts, and installation and training. For the three months ended September 30, 2026, net service revenues increased $5 million compared to the prior quarter mainly as a result of higher repair demand at PSD.</w:t>
      </w:r>
    </w:p>
    <w:p>
      <w:pPr>
        <w:spacing w:after="0" w:line="6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2026, net service revenues increased $47 million compared to the same period in the prior year, primarily due to higher repair demand in our semiconductor market at VSD.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net revenues by reportable segment:</w:t>
      </w:r>
    </w:p>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80" w:type="dxa"/>
            <w:vAlign w:val="bottom"/>
          </w:tcPr>
          <w:p>
            <w:pPr>
              <w:spacing w:after="0"/>
              <w:rPr>
                <w:sz w:val="14"/>
                <w:szCs w:val="14"/>
                <w:color w:val="auto"/>
              </w:rPr>
            </w:pPr>
          </w:p>
        </w:tc>
        <w:tc>
          <w:tcPr>
            <w:tcW w:w="2800" w:type="dxa"/>
            <w:vAlign w:val="bottom"/>
            <w:gridSpan w:val="4"/>
          </w:tcPr>
          <w:p>
            <w:pPr>
              <w:jc w:val="right"/>
              <w:ind w:right="761"/>
              <w:spacing w:after="0"/>
              <w:rPr>
                <w:sz w:val="20"/>
                <w:szCs w:val="20"/>
                <w:color w:val="auto"/>
              </w:rPr>
            </w:pPr>
            <w:r>
              <w:rPr>
                <w:rFonts w:ascii="Times New Roman" w:cs="Times New Roman" w:eastAsia="Times New Roman" w:hAnsi="Times New Roman"/>
                <w:sz w:val="14"/>
                <w:szCs w:val="14"/>
                <w:color w:val="auto"/>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500" w:type="dxa"/>
            <w:vAlign w:val="bottom"/>
            <w:gridSpan w:val="5"/>
          </w:tcPr>
          <w:p>
            <w:pPr>
              <w:ind w:left="380"/>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142"/>
        </w:trPr>
        <w:tc>
          <w:tcPr>
            <w:tcW w:w="4380" w:type="dxa"/>
            <w:vAlign w:val="bottom"/>
            <w:gridSpan w:val="2"/>
            <w:vMerge w:val="continue"/>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22"/>
              <w:spacing w:after="0" w:line="142" w:lineRule="exact"/>
              <w:rPr>
                <w:sz w:val="20"/>
                <w:szCs w:val="20"/>
                <w:color w:val="auto"/>
              </w:rPr>
            </w:pPr>
            <w:r>
              <w:rPr>
                <w:rFonts w:ascii="Times New Roman" w:cs="Times New Roman" w:eastAsia="Times New Roman" w:hAnsi="Times New Roman"/>
                <w:sz w:val="14"/>
                <w:szCs w:val="14"/>
                <w:color w:val="auto"/>
              </w:rPr>
              <w:t>September 30, 2026</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181"/>
              <w:spacing w:after="0" w:line="142" w:lineRule="exact"/>
              <w:rPr>
                <w:sz w:val="20"/>
                <w:szCs w:val="20"/>
                <w:color w:val="auto"/>
              </w:rPr>
            </w:pPr>
            <w:r>
              <w:rPr>
                <w:rFonts w:ascii="Times New Roman" w:cs="Times New Roman" w:eastAsia="Times New Roman" w:hAnsi="Times New Roman"/>
                <w:sz w:val="14"/>
                <w:szCs w:val="14"/>
                <w:color w:val="auto"/>
              </w:rPr>
              <w:t>June 30, 2026</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20" w:type="dxa"/>
            <w:vAlign w:val="bottom"/>
            <w:tcBorders>
              <w:top w:val="single" w:sz="8" w:color="auto"/>
              <w:bottom w:val="single" w:sz="8" w:color="auto"/>
            </w:tcBorders>
            <w:gridSpan w:val="2"/>
          </w:tcPr>
          <w:p>
            <w:pPr>
              <w:jc w:val="right"/>
              <w:ind w:right="21"/>
              <w:spacing w:after="0" w:line="142" w:lineRule="exact"/>
              <w:rPr>
                <w:sz w:val="20"/>
                <w:szCs w:val="20"/>
                <w:color w:val="auto"/>
              </w:rPr>
            </w:pPr>
            <w:r>
              <w:rPr>
                <w:rFonts w:ascii="Times New Roman" w:cs="Times New Roman" w:eastAsia="Times New Roman" w:hAnsi="Times New Roman"/>
                <w:sz w:val="14"/>
                <w:szCs w:val="14"/>
                <w:color w:val="auto"/>
              </w:rPr>
              <w:t>September 30, 2026</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21"/>
              <w:spacing w:after="0" w:line="142" w:lineRule="exact"/>
              <w:rPr>
                <w:sz w:val="20"/>
                <w:szCs w:val="20"/>
                <w:color w:val="auto"/>
              </w:rPr>
            </w:pPr>
            <w:r>
              <w:rPr>
                <w:rFonts w:ascii="Times New Roman" w:cs="Times New Roman" w:eastAsia="Times New Roman" w:hAnsi="Times New Roman"/>
                <w:sz w:val="14"/>
                <w:szCs w:val="14"/>
                <w:color w:val="auto"/>
              </w:rPr>
              <w:t>September 30, 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Vacuum Solutions Division</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680" w:type="dxa"/>
            <w:vAlign w:val="bottom"/>
            <w:gridSpan w:val="3"/>
            <w:shd w:val="clear" w:color="auto" w:fill="CFF0FC"/>
          </w:tcPr>
          <w:p>
            <w:pPr>
              <w:jc w:val="right"/>
              <w:ind w:right="308"/>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1,509</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Photonics Solutions Division</w:t>
            </w:r>
          </w:p>
        </w:tc>
        <w:tc>
          <w:tcPr>
            <w:tcW w:w="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Materials Solutions Division</w:t>
            </w:r>
          </w:p>
        </w:tc>
        <w:tc>
          <w:tcPr>
            <w:tcW w:w="8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1,208</w:t>
            </w: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Total net revenues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1,413</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1,248</w:t>
            </w:r>
          </w:p>
        </w:tc>
        <w:tc>
          <w:tcPr>
            <w:tcW w:w="680" w:type="dxa"/>
            <w:vAlign w:val="bottom"/>
            <w:gridSpan w:val="3"/>
          </w:tcPr>
          <w:p>
            <w:pPr>
              <w:jc w:val="right"/>
              <w:ind w:right="308"/>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3,739</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3654425</wp:posOffset>
            </wp:positionH>
            <wp:positionV relativeFrom="paragraph">
              <wp:posOffset>-161925</wp:posOffset>
            </wp:positionV>
            <wp:extent cx="6858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4639945</wp:posOffset>
            </wp:positionH>
            <wp:positionV relativeFrom="paragraph">
              <wp:posOffset>-161925</wp:posOffset>
            </wp:positionV>
            <wp:extent cx="6858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5608955</wp:posOffset>
            </wp:positionH>
            <wp:positionV relativeFrom="paragraph">
              <wp:posOffset>-161925</wp:posOffset>
            </wp:positionV>
            <wp:extent cx="6032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6594475</wp:posOffset>
            </wp:positionH>
            <wp:positionV relativeFrom="paragraph">
              <wp:posOffset>-161925</wp:posOffset>
            </wp:positionV>
            <wp:extent cx="5969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2026, net revenues from VSD increased $69 million compared to the prior quarter mainly due to increased sales of semiconductor capital equipment serving deposition and etch applications as well as NAND memory production upgrades. For the nine months ended September 30, 2026, net revenues from VSD increased $330 million compared to the same period in the prior year, mainly due to higher sales of our semiconductor capital equipment serving deposition and etch applications, NAND memory production upgrades and higher service revenues.</w:t>
      </w:r>
    </w:p>
    <w:p>
      <w:pPr>
        <w:spacing w:after="0" w:line="75"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For the three months ended September 30, 2026, net revenues from PSD increased $38 million compared to the prior quarter mainly due to higher sales of datacom applications in our specialty industrial market and higher sales in lithography, metrology and inspection products in our semiconductor market, partially offset by lower seasonal sales of flexible PCB via drilling systems in our electronics and packaging market. For the nine months ended September 30, 2026, net revenues from PSD increased $266 million compared to the same period in the prior year, mainly due to higher sales of datacom and defense applications in our specialty industrial market, higher sales of flexible PCB via drilling systems in our electronics and packaging market and higher sales in lithography, metrology and inspection products in our semiconductor market.</w:t>
      </w:r>
    </w:p>
    <w:p>
      <w:pPr>
        <w:spacing w:after="0" w:line="6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2026, net revenues from MSD increased $58 million compared to the prior quarter mainly due to higher sales of chemistry and chemistry equipment in our electronics and packaging market. For the nine months ended September 30, 2026, net revenues from MSD increased $245 million compared to the same period in the prior year, mainly due to higher sales of chemistry and chemistry equipment in our electronics and packaging market.</w:t>
      </w:r>
    </w:p>
    <w:p>
      <w:pPr>
        <w:spacing w:after="0" w:line="13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9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The following table sets forth gross profit as a percentage of net revenues by product and service: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Gross Profit Excluding Amortization</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38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4"/>
                <w:szCs w:val="14"/>
                <w:color w:val="auto"/>
              </w:rPr>
              <w:t>Three Months Ended</w:t>
            </w:r>
          </w:p>
        </w:tc>
        <w:tc>
          <w:tcPr>
            <w:tcW w:w="10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Nine Months Ended</w:t>
            </w:r>
          </w:p>
        </w:tc>
        <w:tc>
          <w:tcPr>
            <w:tcW w:w="8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380" w:type="dxa"/>
            <w:vAlign w:val="bottom"/>
          </w:tcPr>
          <w:p>
            <w:pPr>
              <w:spacing w:after="0"/>
              <w:rPr>
                <w:sz w:val="10"/>
                <w:szCs w:val="10"/>
                <w:color w:val="auto"/>
              </w:rPr>
            </w:pPr>
          </w:p>
        </w:tc>
        <w:tc>
          <w:tcPr>
            <w:tcW w:w="13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September 30, 2026</w:t>
            </w:r>
          </w:p>
        </w:tc>
        <w:tc>
          <w:tcPr>
            <w:tcW w:w="120" w:type="dxa"/>
            <w:vAlign w:val="bottom"/>
          </w:tcPr>
          <w:p>
            <w:pPr>
              <w:spacing w:after="0"/>
              <w:rPr>
                <w:sz w:val="10"/>
                <w:szCs w:val="10"/>
                <w:color w:val="auto"/>
              </w:rPr>
            </w:pPr>
          </w:p>
        </w:tc>
        <w:tc>
          <w:tcPr>
            <w:tcW w:w="148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color w:val="auto"/>
              </w:rPr>
              <w:t>June 30, 2026</w:t>
            </w:r>
          </w:p>
        </w:tc>
        <w:tc>
          <w:tcPr>
            <w:tcW w:w="1000" w:type="dxa"/>
            <w:vAlign w:val="bottom"/>
          </w:tcPr>
          <w:p>
            <w:pPr>
              <w:jc w:val="right"/>
              <w:ind w:right="164"/>
              <w:spacing w:after="0" w:line="119" w:lineRule="exact"/>
              <w:rPr>
                <w:sz w:val="20"/>
                <w:szCs w:val="20"/>
                <w:color w:val="auto"/>
              </w:rPr>
            </w:pPr>
            <w:r>
              <w:rPr>
                <w:rFonts w:ascii="Times New Roman" w:cs="Times New Roman" w:eastAsia="Times New Roman" w:hAnsi="Times New Roman"/>
                <w:sz w:val="13"/>
                <w:szCs w:val="13"/>
                <w:color w:val="auto"/>
              </w:rPr>
              <w:t>% Points</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2"/>
          </w:tcPr>
          <w:p>
            <w:pPr>
              <w:jc w:val="center"/>
              <w:ind w:right="228"/>
              <w:spacing w:after="0" w:line="119" w:lineRule="exact"/>
              <w:rPr>
                <w:sz w:val="20"/>
                <w:szCs w:val="20"/>
                <w:color w:val="auto"/>
              </w:rPr>
            </w:pPr>
            <w:r>
              <w:rPr>
                <w:rFonts w:ascii="Times New Roman" w:cs="Times New Roman" w:eastAsia="Times New Roman" w:hAnsi="Times New Roman"/>
                <w:sz w:val="13"/>
                <w:szCs w:val="13"/>
                <w:color w:val="auto"/>
              </w:rPr>
              <w:t>September 30,</w:t>
            </w:r>
          </w:p>
        </w:tc>
        <w:tc>
          <w:tcPr>
            <w:tcW w:w="1360" w:type="dxa"/>
            <w:vAlign w:val="bottom"/>
            <w:gridSpan w:val="2"/>
          </w:tcPr>
          <w:p>
            <w:pPr>
              <w:jc w:val="right"/>
              <w:ind w:right="420"/>
              <w:spacing w:after="0" w:line="119" w:lineRule="exact"/>
              <w:rPr>
                <w:sz w:val="20"/>
                <w:szCs w:val="20"/>
                <w:color w:val="auto"/>
              </w:rPr>
            </w:pPr>
            <w:r>
              <w:rPr>
                <w:rFonts w:ascii="Times New Roman" w:cs="Times New Roman" w:eastAsia="Times New Roman" w:hAnsi="Times New Roman"/>
                <w:sz w:val="13"/>
                <w:szCs w:val="13"/>
                <w:color w:val="auto"/>
              </w:rPr>
              <w:t>September 30,</w:t>
            </w:r>
          </w:p>
        </w:tc>
        <w:tc>
          <w:tcPr>
            <w:tcW w:w="860" w:type="dxa"/>
            <w:vAlign w:val="bottom"/>
          </w:tcPr>
          <w:p>
            <w:pPr>
              <w:jc w:val="right"/>
              <w:ind w:right="104"/>
              <w:spacing w:after="0" w:line="119" w:lineRule="exact"/>
              <w:rPr>
                <w:sz w:val="20"/>
                <w:szCs w:val="20"/>
                <w:color w:val="auto"/>
              </w:rPr>
            </w:pPr>
            <w:r>
              <w:rPr>
                <w:rFonts w:ascii="Times New Roman" w:cs="Times New Roman" w:eastAsia="Times New Roman" w:hAnsi="Times New Roman"/>
                <w:sz w:val="13"/>
                <w:szCs w:val="13"/>
                <w:color w:val="auto"/>
              </w:rPr>
              <w:t>% Points</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Change</w:t>
            </w:r>
          </w:p>
        </w:tc>
        <w:tc>
          <w:tcPr>
            <w:tcW w:w="1200" w:type="dxa"/>
            <w:vAlign w:val="bottom"/>
            <w:gridSpan w:val="2"/>
          </w:tcPr>
          <w:p>
            <w:pPr>
              <w:jc w:val="right"/>
              <w:ind w:right="333"/>
              <w:spacing w:after="0"/>
              <w:rPr>
                <w:sz w:val="20"/>
                <w:szCs w:val="20"/>
                <w:color w:val="auto"/>
              </w:rPr>
            </w:pPr>
            <w:r>
              <w:rPr>
                <w:rFonts w:ascii="Times New Roman" w:cs="Times New Roman" w:eastAsia="Times New Roman" w:hAnsi="Times New Roman"/>
                <w:sz w:val="14"/>
                <w:szCs w:val="14"/>
                <w:color w:val="auto"/>
              </w:rPr>
              <w:t>2026</w:t>
            </w:r>
          </w:p>
        </w:tc>
        <w:tc>
          <w:tcPr>
            <w:tcW w:w="260" w:type="dxa"/>
            <w:vAlign w:val="bottom"/>
          </w:tcPr>
          <w:p>
            <w:pPr>
              <w:spacing w:after="0"/>
              <w:rPr>
                <w:sz w:val="14"/>
                <w:szCs w:val="14"/>
                <w:color w:val="auto"/>
              </w:rPr>
            </w:pPr>
          </w:p>
        </w:tc>
        <w:tc>
          <w:tcPr>
            <w:tcW w:w="1100" w:type="dxa"/>
            <w:vAlign w:val="bottom"/>
          </w:tcPr>
          <w:p>
            <w:pPr>
              <w:jc w:val="right"/>
              <w:ind w:right="344"/>
              <w:spacing w:after="0"/>
              <w:rPr>
                <w:sz w:val="20"/>
                <w:szCs w:val="20"/>
                <w:color w:val="auto"/>
              </w:rPr>
            </w:pPr>
            <w:r>
              <w:rPr>
                <w:rFonts w:ascii="Times New Roman" w:cs="Times New Roman" w:eastAsia="Times New Roman" w:hAnsi="Times New Roman"/>
                <w:sz w:val="14"/>
                <w:szCs w:val="14"/>
                <w:color w:val="auto"/>
              </w:rPr>
              <w:t>2025</w:t>
            </w:r>
          </w:p>
        </w:tc>
        <w:tc>
          <w:tcPr>
            <w:tcW w:w="260" w:type="dxa"/>
            <w:vAlign w:val="bottom"/>
          </w:tcPr>
          <w:p>
            <w:pPr>
              <w:spacing w:after="0"/>
              <w:rPr>
                <w:sz w:val="14"/>
                <w:szCs w:val="14"/>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6"/>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(As a percentage of net revenues)</w:t>
            </w:r>
          </w:p>
        </w:tc>
        <w:tc>
          <w:tcPr>
            <w:tcW w:w="124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Product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16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47.3%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460" w:type="dxa"/>
            <w:vAlign w:val="bottom"/>
            <w:gridSpan w:val="3"/>
          </w:tcPr>
          <w:p>
            <w:pPr>
              <w:jc w:val="right"/>
              <w:ind w:right="48"/>
              <w:spacing w:after="0"/>
              <w:rPr>
                <w:sz w:val="20"/>
                <w:szCs w:val="20"/>
                <w:color w:val="auto"/>
              </w:rPr>
            </w:pPr>
            <w:r>
              <w:rPr>
                <w:rFonts w:ascii="Times New Roman" w:cs="Times New Roman" w:eastAsia="Times New Roman" w:hAnsi="Times New Roman"/>
                <w:sz w:val="16"/>
                <w:szCs w:val="16"/>
                <w:color w:val="auto"/>
              </w:rPr>
              <w:t>46.9%</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45.9%</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3"/>
        </w:trPr>
        <w:tc>
          <w:tcPr>
            <w:tcW w:w="23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Service</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16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50.1%</w:t>
            </w: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2.5%</w:t>
            </w:r>
          </w:p>
        </w:tc>
        <w:tc>
          <w:tcPr>
            <w:tcW w:w="1460" w:type="dxa"/>
            <w:vAlign w:val="bottom"/>
            <w:gridSpan w:val="3"/>
            <w:shd w:val="clear" w:color="auto" w:fill="CFF0FC"/>
          </w:tcPr>
          <w:p>
            <w:pPr>
              <w:jc w:val="right"/>
              <w:ind w:right="48"/>
              <w:spacing w:after="0"/>
              <w:rPr>
                <w:sz w:val="20"/>
                <w:szCs w:val="20"/>
                <w:color w:val="auto"/>
              </w:rPr>
            </w:pPr>
            <w:r>
              <w:rPr>
                <w:rFonts w:ascii="Times New Roman" w:cs="Times New Roman" w:eastAsia="Times New Roman" w:hAnsi="Times New Roman"/>
                <w:sz w:val="16"/>
                <w:szCs w:val="16"/>
                <w:color w:val="auto"/>
              </w:rPr>
              <w:t>52.3%</w:t>
            </w: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53.2%</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10"/>
        </w:trPr>
        <w:tc>
          <w:tcPr>
            <w:tcW w:w="2380" w:type="dxa"/>
            <w:vAlign w:val="bottom"/>
          </w:tcPr>
          <w:p>
            <w:pPr>
              <w:spacing w:after="0"/>
              <w:rPr>
                <w:sz w:val="20"/>
                <w:szCs w:val="20"/>
                <w:color w:val="auto"/>
              </w:rPr>
            </w:pPr>
            <w:r>
              <w:rPr>
                <w:rFonts w:ascii="Times New Roman" w:cs="Times New Roman" w:eastAsia="Times New Roman" w:hAnsi="Times New Roman"/>
                <w:sz w:val="16"/>
                <w:szCs w:val="16"/>
                <w:color w:val="auto"/>
              </w:rPr>
              <w:t>Total gross profit percentage</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16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47.6%</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0.1%</w:t>
            </w:r>
          </w:p>
        </w:tc>
        <w:tc>
          <w:tcPr>
            <w:tcW w:w="1460" w:type="dxa"/>
            <w:vAlign w:val="bottom"/>
            <w:gridSpan w:val="3"/>
          </w:tcPr>
          <w:p>
            <w:pPr>
              <w:jc w:val="right"/>
              <w:ind w:right="48"/>
              <w:spacing w:after="0"/>
              <w:rPr>
                <w:sz w:val="20"/>
                <w:szCs w:val="20"/>
                <w:color w:val="auto"/>
              </w:rPr>
            </w:pPr>
            <w:r>
              <w:rPr>
                <w:rFonts w:ascii="Times New Roman" w:cs="Times New Roman" w:eastAsia="Times New Roman" w:hAnsi="Times New Roman"/>
                <w:sz w:val="16"/>
                <w:szCs w:val="16"/>
                <w:color w:val="auto"/>
              </w:rPr>
              <w:t>47.5%</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46.9%</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Gross profit as a percentage of net product revenues decreased by 0.2 percentage points for the three months ended September 30, 2026 compared to the prior quarter, primarily due to higher tariff and duty costs and unfavorable product mix, partially offset by higher revenue volumes.</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Gross profit as a percentage of net product revenues increased by 1.0 percentage points for the nine months ended September 30, 2026 compared to the same period in the prior year, primarily due to higher revenue volumes and lower excess and obsolete inventory charges, partially offset by unfavorable product mix.</w:t>
      </w:r>
    </w:p>
    <w:p>
      <w:pPr>
        <w:spacing w:after="0" w:line="68"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Gross profit as a percentage of net services revenues increased by 2.5 percentage points for the three months ended September 30, 2026 compared to the prior quarter, primarily due to favorable product mix and favorable labor and overhead absorption.</w:t>
      </w:r>
    </w:p>
    <w:p>
      <w:pPr>
        <w:spacing w:after="0" w:line="54" w:lineRule="exact"/>
        <w:rPr>
          <w:sz w:val="20"/>
          <w:szCs w:val="20"/>
          <w:color w:val="auto"/>
        </w:rPr>
      </w:pPr>
    </w:p>
    <w:p>
      <w:pPr>
        <w:ind w:right="740"/>
        <w:spacing w:after="0" w:line="312" w:lineRule="auto"/>
        <w:rPr>
          <w:sz w:val="20"/>
          <w:szCs w:val="20"/>
          <w:color w:val="auto"/>
        </w:rPr>
      </w:pPr>
      <w:r>
        <w:rPr>
          <w:rFonts w:ascii="Times New Roman" w:cs="Times New Roman" w:eastAsia="Times New Roman" w:hAnsi="Times New Roman"/>
          <w:sz w:val="17"/>
          <w:szCs w:val="17"/>
          <w:color w:val="auto"/>
        </w:rPr>
        <w:t>Gross profit as a percentage of net services revenues decreased by 0.9 percentage points for the nine months ended September 30, 2026 compared to the same period in the prior year, primarily due to unfavorable product mix, partially offset by higher revenue volumes.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gross profit as a percentage of net revenues by reportable segment:</w:t>
      </w:r>
    </w:p>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7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Three Months Ended</w:t>
            </w:r>
          </w:p>
        </w:tc>
        <w:tc>
          <w:tcPr>
            <w:tcW w:w="8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Nine Months Ended</w:t>
            </w:r>
          </w:p>
        </w:tc>
        <w:tc>
          <w:tcPr>
            <w:tcW w:w="9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760" w:type="dxa"/>
            <w:vAlign w:val="bottom"/>
          </w:tcPr>
          <w:p>
            <w:pPr>
              <w:spacing w:after="0"/>
              <w:rPr>
                <w:sz w:val="10"/>
                <w:szCs w:val="10"/>
                <w:color w:val="auto"/>
              </w:rPr>
            </w:pPr>
          </w:p>
        </w:tc>
        <w:tc>
          <w:tcPr>
            <w:tcW w:w="1300" w:type="dxa"/>
            <w:vAlign w:val="bottom"/>
            <w:gridSpan w:val="3"/>
          </w:tcPr>
          <w:p>
            <w:pPr>
              <w:jc w:val="right"/>
              <w:ind w:right="308"/>
              <w:spacing w:after="0" w:line="119" w:lineRule="exact"/>
              <w:rPr>
                <w:sz w:val="20"/>
                <w:szCs w:val="20"/>
                <w:color w:val="auto"/>
              </w:rPr>
            </w:pPr>
            <w:r>
              <w:rPr>
                <w:rFonts w:ascii="Times New Roman" w:cs="Times New Roman" w:eastAsia="Times New Roman" w:hAnsi="Times New Roman"/>
                <w:sz w:val="13"/>
                <w:szCs w:val="13"/>
                <w:color w:val="auto"/>
              </w:rPr>
              <w:t>September 30,</w:t>
            </w:r>
          </w:p>
        </w:tc>
        <w:tc>
          <w:tcPr>
            <w:tcW w:w="14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color w:val="auto"/>
              </w:rPr>
              <w:t>June 30, 2026</w:t>
            </w:r>
          </w:p>
        </w:tc>
        <w:tc>
          <w:tcPr>
            <w:tcW w:w="860" w:type="dxa"/>
            <w:vAlign w:val="bottom"/>
          </w:tcPr>
          <w:p>
            <w:pPr>
              <w:jc w:val="right"/>
              <w:ind w:right="103"/>
              <w:spacing w:after="0" w:line="119" w:lineRule="exact"/>
              <w:rPr>
                <w:sz w:val="20"/>
                <w:szCs w:val="20"/>
                <w:color w:val="auto"/>
              </w:rPr>
            </w:pPr>
            <w:r>
              <w:rPr>
                <w:rFonts w:ascii="Times New Roman" w:cs="Times New Roman" w:eastAsia="Times New Roman" w:hAnsi="Times New Roman"/>
                <w:sz w:val="13"/>
                <w:szCs w:val="13"/>
                <w:color w:val="auto"/>
              </w:rPr>
              <w:t>% Points</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2"/>
          </w:tcPr>
          <w:p>
            <w:pPr>
              <w:jc w:val="center"/>
              <w:ind w:right="208"/>
              <w:spacing w:after="0" w:line="119" w:lineRule="exact"/>
              <w:rPr>
                <w:sz w:val="20"/>
                <w:szCs w:val="20"/>
                <w:color w:val="auto"/>
              </w:rPr>
            </w:pPr>
            <w:r>
              <w:rPr>
                <w:rFonts w:ascii="Times New Roman" w:cs="Times New Roman" w:eastAsia="Times New Roman" w:hAnsi="Times New Roman"/>
                <w:sz w:val="13"/>
                <w:szCs w:val="13"/>
                <w:color w:val="auto"/>
              </w:rPr>
              <w:t>September 30,</w:t>
            </w:r>
          </w:p>
        </w:tc>
        <w:tc>
          <w:tcPr>
            <w:tcW w:w="1300" w:type="dxa"/>
            <w:vAlign w:val="bottom"/>
            <w:gridSpan w:val="2"/>
          </w:tcPr>
          <w:p>
            <w:pPr>
              <w:jc w:val="right"/>
              <w:ind w:right="380"/>
              <w:spacing w:after="0" w:line="119" w:lineRule="exact"/>
              <w:rPr>
                <w:sz w:val="20"/>
                <w:szCs w:val="20"/>
                <w:color w:val="auto"/>
              </w:rPr>
            </w:pPr>
            <w:r>
              <w:rPr>
                <w:rFonts w:ascii="Times New Roman" w:cs="Times New Roman" w:eastAsia="Times New Roman" w:hAnsi="Times New Roman"/>
                <w:sz w:val="13"/>
                <w:szCs w:val="13"/>
                <w:color w:val="auto"/>
              </w:rPr>
              <w:t>September 30,</w:t>
            </w:r>
          </w:p>
        </w:tc>
        <w:tc>
          <w:tcPr>
            <w:tcW w:w="980" w:type="dxa"/>
            <w:vAlign w:val="bottom"/>
          </w:tcPr>
          <w:p>
            <w:pPr>
              <w:jc w:val="right"/>
              <w:ind w:right="163"/>
              <w:spacing w:after="0" w:line="119" w:lineRule="exact"/>
              <w:rPr>
                <w:sz w:val="20"/>
                <w:szCs w:val="20"/>
                <w:color w:val="auto"/>
              </w:rPr>
            </w:pPr>
            <w:r>
              <w:rPr>
                <w:rFonts w:ascii="Times New Roman" w:cs="Times New Roman" w:eastAsia="Times New Roman" w:hAnsi="Times New Roman"/>
                <w:sz w:val="13"/>
                <w:szCs w:val="13"/>
                <w:color w:val="auto"/>
              </w:rPr>
              <w:t>% Points</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60" w:type="dxa"/>
            <w:vAlign w:val="bottom"/>
            <w:gridSpan w:val="2"/>
          </w:tcPr>
          <w:p>
            <w:pPr>
              <w:ind w:left="3140"/>
              <w:spacing w:after="0"/>
              <w:rPr>
                <w:sz w:val="20"/>
                <w:szCs w:val="20"/>
                <w:color w:val="auto"/>
              </w:rPr>
            </w:pPr>
            <w:r>
              <w:rPr>
                <w:rFonts w:ascii="Times New Roman" w:cs="Times New Roman" w:eastAsia="Times New Roman" w:hAnsi="Times New Roman"/>
                <w:sz w:val="14"/>
                <w:szCs w:val="14"/>
                <w:color w:val="auto"/>
              </w:rPr>
              <w:t>2026</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Change</w:t>
            </w:r>
          </w:p>
        </w:tc>
        <w:tc>
          <w:tcPr>
            <w:tcW w:w="1160" w:type="dxa"/>
            <w:vAlign w:val="bottom"/>
            <w:gridSpan w:val="2"/>
          </w:tcPr>
          <w:p>
            <w:pPr>
              <w:jc w:val="right"/>
              <w:ind w:right="333"/>
              <w:spacing w:after="0"/>
              <w:rPr>
                <w:sz w:val="20"/>
                <w:szCs w:val="20"/>
                <w:color w:val="auto"/>
              </w:rPr>
            </w:pPr>
            <w:r>
              <w:rPr>
                <w:rFonts w:ascii="Times New Roman" w:cs="Times New Roman" w:eastAsia="Times New Roman" w:hAnsi="Times New Roman"/>
                <w:sz w:val="14"/>
                <w:szCs w:val="14"/>
                <w:color w:val="auto"/>
              </w:rPr>
              <w:t>2026</w:t>
            </w:r>
          </w:p>
        </w:tc>
        <w:tc>
          <w:tcPr>
            <w:tcW w:w="240" w:type="dxa"/>
            <w:vAlign w:val="bottom"/>
          </w:tcPr>
          <w:p>
            <w:pPr>
              <w:spacing w:after="0"/>
              <w:rPr>
                <w:sz w:val="14"/>
                <w:szCs w:val="14"/>
                <w:color w:val="auto"/>
              </w:rPr>
            </w:pPr>
          </w:p>
        </w:tc>
        <w:tc>
          <w:tcPr>
            <w:tcW w:w="1060" w:type="dxa"/>
            <w:vAlign w:val="bottom"/>
          </w:tcPr>
          <w:p>
            <w:pPr>
              <w:jc w:val="right"/>
              <w:ind w:right="303"/>
              <w:spacing w:after="0"/>
              <w:rPr>
                <w:sz w:val="20"/>
                <w:szCs w:val="20"/>
                <w:color w:val="auto"/>
              </w:rPr>
            </w:pPr>
            <w:r>
              <w:rPr>
                <w:rFonts w:ascii="Times New Roman" w:cs="Times New Roman" w:eastAsia="Times New Roman" w:hAnsi="Times New Roman"/>
                <w:sz w:val="14"/>
                <w:szCs w:val="14"/>
                <w:color w:val="auto"/>
              </w:rPr>
              <w:t>2025</w:t>
            </w:r>
          </w:p>
        </w:tc>
        <w:tc>
          <w:tcPr>
            <w:tcW w:w="240" w:type="dxa"/>
            <w:vAlign w:val="bottom"/>
          </w:tcPr>
          <w:p>
            <w:pPr>
              <w:spacing w:after="0"/>
              <w:rPr>
                <w:sz w:val="14"/>
                <w:szCs w:val="14"/>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4"/>
        </w:trPr>
        <w:tc>
          <w:tcPr>
            <w:tcW w:w="27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(As a percentage of net revenues)</w:t>
            </w:r>
          </w:p>
        </w:tc>
        <w:tc>
          <w:tcPr>
            <w:tcW w:w="7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46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Vacuum Solutions Division</w:t>
            </w:r>
          </w:p>
        </w:tc>
        <w:tc>
          <w:tcPr>
            <w:tcW w:w="6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6"/>
                <w:szCs w:val="16"/>
                <w:color w:val="auto"/>
              </w:rPr>
              <w:t>43.9%</w:t>
            </w: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43.8%</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0.1%</w:t>
            </w:r>
          </w:p>
        </w:tc>
        <w:tc>
          <w:tcPr>
            <w:tcW w:w="1400" w:type="dxa"/>
            <w:vAlign w:val="bottom"/>
            <w:gridSpan w:val="3"/>
            <w:shd w:val="clear" w:color="auto" w:fill="CFF0FC"/>
          </w:tcPr>
          <w:p>
            <w:pPr>
              <w:jc w:val="right"/>
              <w:ind w:right="28"/>
              <w:spacing w:after="0"/>
              <w:rPr>
                <w:sz w:val="20"/>
                <w:szCs w:val="20"/>
                <w:color w:val="auto"/>
              </w:rPr>
            </w:pPr>
            <w:r>
              <w:rPr>
                <w:rFonts w:ascii="Times New Roman" w:cs="Times New Roman" w:eastAsia="Times New Roman" w:hAnsi="Times New Roman"/>
                <w:sz w:val="16"/>
                <w:szCs w:val="16"/>
                <w:color w:val="auto"/>
              </w:rPr>
              <w:t>43.6%</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43.7%</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3"/>
        </w:trPr>
        <w:tc>
          <w:tcPr>
            <w:tcW w:w="34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Photonics Solutions Division</w:t>
            </w:r>
          </w:p>
        </w:tc>
        <w:tc>
          <w:tcPr>
            <w:tcW w:w="60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auto"/>
              </w:rPr>
              <w:t>51.7%</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50.8%</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0.9%</w:t>
            </w:r>
          </w:p>
        </w:tc>
        <w:tc>
          <w:tcPr>
            <w:tcW w:w="1400" w:type="dxa"/>
            <w:vAlign w:val="bottom"/>
            <w:gridSpan w:val="3"/>
          </w:tcPr>
          <w:p>
            <w:pPr>
              <w:jc w:val="right"/>
              <w:ind w:right="28"/>
              <w:spacing w:after="0"/>
              <w:rPr>
                <w:sz w:val="20"/>
                <w:szCs w:val="20"/>
                <w:color w:val="auto"/>
              </w:rPr>
            </w:pPr>
            <w:r>
              <w:rPr>
                <w:rFonts w:ascii="Times New Roman" w:cs="Times New Roman" w:eastAsia="Times New Roman" w:hAnsi="Times New Roman"/>
                <w:sz w:val="16"/>
                <w:szCs w:val="16"/>
                <w:color w:val="auto"/>
              </w:rPr>
              <w:t>50.1%</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43.4%</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03"/>
        </w:trPr>
        <w:tc>
          <w:tcPr>
            <w:tcW w:w="346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Materials Solutions Division</w:t>
            </w:r>
          </w:p>
        </w:tc>
        <w:tc>
          <w:tcPr>
            <w:tcW w:w="6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6"/>
                <w:szCs w:val="16"/>
                <w:color w:val="auto"/>
              </w:rPr>
              <w:t>50.2%</w:t>
            </w: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50.5%</w:t>
            </w: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(0.3)%</w:t>
            </w:r>
          </w:p>
        </w:tc>
        <w:tc>
          <w:tcPr>
            <w:tcW w:w="1400" w:type="dxa"/>
            <w:vAlign w:val="bottom"/>
            <w:gridSpan w:val="3"/>
            <w:shd w:val="clear" w:color="auto" w:fill="CFF0FC"/>
          </w:tcPr>
          <w:p>
            <w:pPr>
              <w:jc w:val="right"/>
              <w:ind w:right="28"/>
              <w:spacing w:after="0"/>
              <w:rPr>
                <w:sz w:val="20"/>
                <w:szCs w:val="20"/>
                <w:color w:val="auto"/>
              </w:rPr>
            </w:pPr>
            <w:r>
              <w:rPr>
                <w:rFonts w:ascii="Times New Roman" w:cs="Times New Roman" w:eastAsia="Times New Roman" w:hAnsi="Times New Roman"/>
                <w:sz w:val="16"/>
                <w:szCs w:val="16"/>
                <w:color w:val="auto"/>
              </w:rPr>
              <w:t>50.9%</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54.3%</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0"/>
        </w:trPr>
        <w:tc>
          <w:tcPr>
            <w:tcW w:w="3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gross profit percentage</w:t>
            </w:r>
          </w:p>
        </w:tc>
        <w:tc>
          <w:tcPr>
            <w:tcW w:w="60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auto"/>
              </w:rPr>
              <w:t>47.7%</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47.6%</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0.1%</w:t>
            </w:r>
          </w:p>
        </w:tc>
        <w:tc>
          <w:tcPr>
            <w:tcW w:w="1400" w:type="dxa"/>
            <w:vAlign w:val="bottom"/>
            <w:gridSpan w:val="3"/>
          </w:tcPr>
          <w:p>
            <w:pPr>
              <w:jc w:val="right"/>
              <w:ind w:right="28"/>
              <w:spacing w:after="0"/>
              <w:rPr>
                <w:sz w:val="20"/>
                <w:szCs w:val="20"/>
                <w:color w:val="auto"/>
              </w:rPr>
            </w:pPr>
            <w:r>
              <w:rPr>
                <w:rFonts w:ascii="Times New Roman" w:cs="Times New Roman" w:eastAsia="Times New Roman" w:hAnsi="Times New Roman"/>
                <w:sz w:val="16"/>
                <w:szCs w:val="16"/>
                <w:color w:val="auto"/>
              </w:rPr>
              <w:t>47.5%</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46.9%</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Gross profit as a percentage of net revenues for VSD increased for the three months ended September 30, 2026 compared to the prior quarter, primarily due to higher revenue volumes and favorable product mix, partially offset by higher tariff and duty costs. Gross profit as a percentage of net revenues for VSD decreased for the nine months ended September 30, 2026 compared to the same period in the prior year, primarily due to unfavorable product mix, partially offset by higher revenue volumes as well as lower excess and obsolete inventory charges.</w:t>
      </w:r>
    </w:p>
    <w:p>
      <w:pPr>
        <w:spacing w:after="0" w:line="7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Gross profit as a percentage of net revenues for PSD increased for the three months ended September 30, 2026 compared to the prior quarter, primarily due to higher revenue volumes and favorable product mix, partially offset by higher tariff and duty costs. Gross profit as a percentage of net revenues for PSD increased for the nine months ended September 30, 2026 compared to the same period in the prior year, primarily due to higher revenue volumes, favorable factory utilization and lower excess and obsolete inventory charges, partially offset by unfavorable product mix.</w:t>
      </w:r>
    </w:p>
    <w:p>
      <w:pPr>
        <w:spacing w:after="0" w:line="75"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7"/>
          <w:szCs w:val="17"/>
          <w:color w:val="auto"/>
        </w:rPr>
        <w:t>Gross profit as a percentage of net revenues for MSD decreased for the three months ended September 30, 2026 compared to the prior quarter, primarily due to unfavorable product mix and higher excess and obsolete inventory charges, partially offset by higher revenue volumes. Gross profit as a percentage of net revenues for MSD decreased for the nine months ended September 30, 2026 compared to the same period in the prior year, primarily due to unfavorable product mix and higher palladium prices, partially offset by higher revenue volumes.</w:t>
      </w:r>
    </w:p>
    <w:p>
      <w:pPr>
        <w:spacing w:after="0" w:line="4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above gross profit percentages by division exclude an immaterial amount of unallocated corporate expense included in the total gross profit percentage.</w:t>
      </w:r>
    </w:p>
    <w:p>
      <w:pPr>
        <w:spacing w:after="0" w:line="21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93" w:right="339" w:bottom="1440" w:gutter="0" w:footer="0" w:header="0"/>
        </w:sectPr>
      </w:pPr>
    </w:p>
    <w:bookmarkStart w:id="37" w:name="page38"/>
    <w:bookmarkEnd w:id="37"/>
    <w:p>
      <w:pPr>
        <w:ind w:left="760"/>
        <w:spacing w:after="0"/>
        <w:rPr>
          <w:sz w:val="20"/>
          <w:szCs w:val="20"/>
          <w:color w:val="auto"/>
        </w:rPr>
      </w:pPr>
      <w:r>
        <w:rPr>
          <w:rFonts w:ascii="Times New Roman" w:cs="Times New Roman" w:eastAsia="Times New Roman" w:hAnsi="Times New Roman"/>
          <w:sz w:val="18"/>
          <w:szCs w:val="18"/>
          <w:u w:val="single" w:color="auto"/>
          <w:color w:val="auto"/>
        </w:rPr>
        <w:t>Research and Development</w:t>
      </w:r>
    </w:p>
    <w:p>
      <w:pPr>
        <w:spacing w:after="0" w:line="221" w:lineRule="exact"/>
        <w:rPr>
          <w:sz w:val="20"/>
          <w:szCs w:val="20"/>
          <w:color w:val="auto"/>
        </w:rPr>
      </w:pPr>
    </w:p>
    <w:tbl>
      <w:tblPr>
        <w:tblLayout w:type="fixed"/>
        <w:tblInd w:w="800" w:type="dxa"/>
        <w:tblCellMar>
          <w:top w:w="0" w:type="dxa"/>
          <w:left w:w="0" w:type="dxa"/>
          <w:bottom w:w="0" w:type="dxa"/>
          <w:right w:w="0" w:type="dxa"/>
        </w:tblCellMar>
      </w:tblPr>
      <w:tr>
        <w:trPr>
          <w:trHeight w:val="171"/>
        </w:trPr>
        <w:tc>
          <w:tcPr>
            <w:tcW w:w="31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80" w:type="dxa"/>
            <w:vAlign w:val="bottom"/>
            <w:gridSpan w:val="3"/>
          </w:tcPr>
          <w:p>
            <w:pPr>
              <w:jc w:val="right"/>
              <w:ind w:right="508"/>
              <w:spacing w:after="0"/>
              <w:rPr>
                <w:sz w:val="20"/>
                <w:szCs w:val="20"/>
                <w:color w:val="auto"/>
              </w:rPr>
            </w:pPr>
            <w:r>
              <w:rPr>
                <w:rFonts w:ascii="Times New Roman" w:cs="Times New Roman" w:eastAsia="Times New Roman" w:hAnsi="Times New Roman"/>
                <w:sz w:val="14"/>
                <w:szCs w:val="14"/>
                <w:color w:val="auto"/>
              </w:rPr>
              <w:t>Three Months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20" w:type="dxa"/>
            <w:vAlign w:val="bottom"/>
            <w:gridSpan w:val="5"/>
          </w:tcPr>
          <w:p>
            <w:pPr>
              <w:ind w:left="760"/>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142"/>
        </w:trPr>
        <w:tc>
          <w:tcPr>
            <w:tcW w:w="314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1320" w:type="dxa"/>
            <w:vAlign w:val="bottom"/>
            <w:tcBorders>
              <w:top w:val="single" w:sz="8" w:color="auto"/>
              <w:bottom w:val="single" w:sz="8" w:color="auto"/>
            </w:tcBorders>
            <w:gridSpan w:val="2"/>
          </w:tcPr>
          <w:p>
            <w:pPr>
              <w:jc w:val="right"/>
              <w:ind w:right="19"/>
              <w:spacing w:after="0" w:line="142" w:lineRule="exact"/>
              <w:rPr>
                <w:sz w:val="20"/>
                <w:szCs w:val="20"/>
                <w:color w:val="auto"/>
              </w:rPr>
            </w:pPr>
            <w:r>
              <w:rPr>
                <w:rFonts w:ascii="Times New Roman" w:cs="Times New Roman" w:eastAsia="Times New Roman" w:hAnsi="Times New Roman"/>
                <w:sz w:val="14"/>
                <w:szCs w:val="14"/>
                <w:color w:val="auto"/>
              </w:rPr>
              <w:t>September 30, 2026</w:t>
            </w:r>
          </w:p>
        </w:tc>
        <w:tc>
          <w:tcPr>
            <w:tcW w:w="180" w:type="dxa"/>
            <w:vAlign w:val="bottom"/>
            <w:tcBorders>
              <w:top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June 30, 2026</w:t>
            </w:r>
          </w:p>
        </w:tc>
        <w:tc>
          <w:tcPr>
            <w:tcW w:w="24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color w:val="auto"/>
                <w:w w:val="99"/>
              </w:rPr>
              <w:t>September 30, 2026</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color w:val="auto"/>
              </w:rPr>
              <w:t>September 30, 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60" w:type="dxa"/>
            <w:vAlign w:val="bottom"/>
            <w:gridSpan w:val="2"/>
            <w:shd w:val="clear" w:color="auto" w:fill="CFF0FC"/>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30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760" w:right="120"/>
        <w:spacing w:after="0" w:line="289" w:lineRule="auto"/>
        <w:rPr>
          <w:sz w:val="20"/>
          <w:szCs w:val="20"/>
          <w:color w:val="auto"/>
        </w:rPr>
      </w:pPr>
      <w:r>
        <w:rPr>
          <w:rFonts w:ascii="Times New Roman" w:cs="Times New Roman" w:eastAsia="Times New Roman" w:hAnsi="Times New Roman"/>
          <w:sz w:val="17"/>
          <w:szCs w:val="17"/>
          <w:color w:val="auto"/>
        </w:rPr>
        <w:t>Research and development expenses for the three months ended September 30, 2026 increased $4 million compared to the prior quarter, primarily due to a $3 million increase in project material costs. Research and development expenses increased $15 million for the nine months ended September 30, 2026 compared to the same period in the prior year, primarily due to a $13 million increase in compensation-related costs.</w:t>
      </w:r>
    </w:p>
    <w:p>
      <w:pPr>
        <w:spacing w:after="0" w:line="50" w:lineRule="exact"/>
        <w:rPr>
          <w:sz w:val="20"/>
          <w:szCs w:val="20"/>
          <w:color w:val="auto"/>
        </w:rPr>
      </w:pPr>
    </w:p>
    <w:p>
      <w:pPr>
        <w:ind w:left="760" w:right="120"/>
        <w:spacing w:after="0" w:line="261" w:lineRule="auto"/>
        <w:rPr>
          <w:sz w:val="20"/>
          <w:szCs w:val="20"/>
          <w:color w:val="auto"/>
        </w:rPr>
      </w:pPr>
      <w:r>
        <w:rPr>
          <w:rFonts w:ascii="Times New Roman" w:cs="Times New Roman" w:eastAsia="Times New Roman" w:hAnsi="Times New Roman"/>
          <w:sz w:val="18"/>
          <w:szCs w:val="18"/>
          <w:color w:val="auto"/>
        </w:rPr>
        <w:t>Our research and development efforts are primarily focused on developing and improving our instruments, components, chemistry, subsystems, systems and process control solutions to improve process performance and productivity. We have thousands of products, and our research and development efforts primarily consist of a large number of projects related to these products, none of which is individually material. Projects typically have a duration of 3 to 36 months but may be extended for development of new products.</w:t>
      </w:r>
    </w:p>
    <w:p>
      <w:pPr>
        <w:spacing w:after="0" w:line="72" w:lineRule="exact"/>
        <w:rPr>
          <w:sz w:val="20"/>
          <w:szCs w:val="20"/>
          <w:color w:val="auto"/>
        </w:rPr>
      </w:pPr>
    </w:p>
    <w:p>
      <w:pPr>
        <w:ind w:left="760" w:right="60"/>
        <w:spacing w:after="0" w:line="253" w:lineRule="auto"/>
        <w:rPr>
          <w:sz w:val="20"/>
          <w:szCs w:val="20"/>
          <w:color w:val="auto"/>
        </w:rPr>
      </w:pPr>
      <w:r>
        <w:rPr>
          <w:rFonts w:ascii="Times New Roman" w:cs="Times New Roman" w:eastAsia="Times New Roman" w:hAnsi="Times New Roman"/>
          <w:sz w:val="18"/>
          <w:szCs w:val="18"/>
          <w:color w:val="auto"/>
        </w:rPr>
        <w:t>We continue to make product advancements designed to meet our customers’ evolving needs. We have developed, and continue to develop, new products designed to address industry trends, such as the rising demand for more complex hardware architecture related to increasing investments in artificial intelligence, the shrinking of integrated circuit critical dimensions and technology inflections, and, in the flat panel display and solar markets, the transition to larger substrate sizes, which require more advanced processing and process control technology, the continuing drive toward more complex and capable components, systems and chemistries for AI datacenters and edge devices, the growth in units, via counts and material changes in the high density interconnect PCB market, and the transition from internal combustion to electric vehicles. In addition, we have developed, and continue to develop, products that support the migration to new classes of materials, ultra-thin layers, and 3D structures that are used in small geometry manufacturing. In our chemistry and equipment plating businesses, a majority of our research and development investment supports existing customers’ product improvement needs and their short-term research and development goals, which enables us to pioneer new high-value solutions while limiting commercial risk. Research and development expenses consist primarily of salaries and related expenses for personnel engaged in research and development, fees paid to consultants, material costs for prototypes and other expenses related to the design, development, testing and enhancement of our products.</w:t>
      </w:r>
    </w:p>
    <w:p>
      <w:pPr>
        <w:spacing w:after="0" w:line="82" w:lineRule="exact"/>
        <w:rPr>
          <w:sz w:val="20"/>
          <w:szCs w:val="20"/>
          <w:color w:val="auto"/>
        </w:rPr>
      </w:pPr>
    </w:p>
    <w:p>
      <w:pPr>
        <w:ind w:left="760" w:right="120"/>
        <w:spacing w:after="0" w:line="254" w:lineRule="auto"/>
        <w:rPr>
          <w:sz w:val="20"/>
          <w:szCs w:val="20"/>
          <w:color w:val="auto"/>
        </w:rPr>
      </w:pPr>
      <w:r>
        <w:rPr>
          <w:rFonts w:ascii="Times New Roman" w:cs="Times New Roman" w:eastAsia="Times New Roman" w:hAnsi="Times New Roman"/>
          <w:sz w:val="18"/>
          <w:szCs w:val="18"/>
          <w:color w:val="auto"/>
        </w:rPr>
        <w:t>We believe that the continued investment in research and development and ongoing development of new products are essential to the expansion of our markets. We expect to continue to make significant investment in research and development activities. We are subject to risks from products not being developed in a timely manner, as well as from rapidly changing customer requirements and competitive threats from other companies and technologies. Our success depends on many of our products being designed into new generations of equipment for the semiconductor, electronics and packaging, and specialty industrial markets. We seek to develop products that are technologically advanced so that they are positioned to be chosen for use in each successive generation of semiconductor capital equipment and advanced markets applications. If our products are not chosen to be designed into our customers’ products, our net revenues may be reduced during the lifespan of those products.</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Selling, General and Administrative</w:t>
      </w:r>
    </w:p>
    <w:p>
      <w:pPr>
        <w:spacing w:after="0" w:line="221" w:lineRule="exact"/>
        <w:rPr>
          <w:sz w:val="20"/>
          <w:szCs w:val="20"/>
          <w:color w:val="auto"/>
        </w:rPr>
      </w:pPr>
    </w:p>
    <w:tbl>
      <w:tblPr>
        <w:tblLayout w:type="fixed"/>
        <w:tblInd w:w="800" w:type="dxa"/>
        <w:tblCellMar>
          <w:top w:w="0" w:type="dxa"/>
          <w:left w:w="0" w:type="dxa"/>
          <w:bottom w:w="0" w:type="dxa"/>
          <w:right w:w="0" w:type="dxa"/>
        </w:tblCellMar>
      </w:tblPr>
      <w:tr>
        <w:trPr>
          <w:trHeight w:val="171"/>
        </w:trPr>
        <w:tc>
          <w:tcPr>
            <w:tcW w:w="34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40" w:type="dxa"/>
            <w:vAlign w:val="bottom"/>
            <w:gridSpan w:val="3"/>
          </w:tcPr>
          <w:p>
            <w:pPr>
              <w:jc w:val="right"/>
              <w:ind w:right="468"/>
              <w:spacing w:after="0"/>
              <w:rPr>
                <w:sz w:val="20"/>
                <w:szCs w:val="20"/>
                <w:color w:val="auto"/>
              </w:rPr>
            </w:pPr>
            <w:r>
              <w:rPr>
                <w:rFonts w:ascii="Times New Roman" w:cs="Times New Roman" w:eastAsia="Times New Roman" w:hAnsi="Times New Roman"/>
                <w:sz w:val="14"/>
                <w:szCs w:val="14"/>
                <w:color w:val="auto"/>
              </w:rPr>
              <w:t>Three Months Ended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20" w:type="dxa"/>
            <w:vAlign w:val="bottom"/>
            <w:gridSpan w:val="5"/>
          </w:tcPr>
          <w:p>
            <w:pPr>
              <w:ind w:left="760"/>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142"/>
        </w:trPr>
        <w:tc>
          <w:tcPr>
            <w:tcW w:w="344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1320" w:type="dxa"/>
            <w:vAlign w:val="bottom"/>
            <w:tcBorders>
              <w:top w:val="single" w:sz="8" w:color="auto"/>
              <w:bottom w:val="single" w:sz="8" w:color="auto"/>
            </w:tcBorders>
            <w:gridSpan w:val="2"/>
          </w:tcPr>
          <w:p>
            <w:pPr>
              <w:jc w:val="right"/>
              <w:ind w:right="19"/>
              <w:spacing w:after="0" w:line="142" w:lineRule="exact"/>
              <w:rPr>
                <w:sz w:val="20"/>
                <w:szCs w:val="20"/>
                <w:color w:val="auto"/>
              </w:rPr>
            </w:pPr>
            <w:r>
              <w:rPr>
                <w:rFonts w:ascii="Times New Roman" w:cs="Times New Roman" w:eastAsia="Times New Roman" w:hAnsi="Times New Roman"/>
                <w:sz w:val="14"/>
                <w:szCs w:val="14"/>
                <w:color w:val="auto"/>
              </w:rPr>
              <w:t>September 30, 2026</w:t>
            </w:r>
          </w:p>
        </w:tc>
        <w:tc>
          <w:tcPr>
            <w:tcW w:w="180" w:type="dxa"/>
            <w:vAlign w:val="bottom"/>
            <w:tcBorders>
              <w:top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June 30, 2026</w:t>
            </w:r>
          </w:p>
        </w:tc>
        <w:tc>
          <w:tcPr>
            <w:tcW w:w="28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color w:val="auto"/>
                <w:w w:val="99"/>
              </w:rPr>
              <w:t>September 30, 2026</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color w:val="auto"/>
              </w:rPr>
              <w:t>September 30, 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360" w:type="dxa"/>
            <w:vAlign w:val="bottom"/>
            <w:gridSpan w:val="2"/>
            <w:shd w:val="clear" w:color="auto" w:fill="CFF0FC"/>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60" w:type="dxa"/>
            <w:vAlign w:val="bottom"/>
            <w:gridSpan w:val="2"/>
            <w:shd w:val="clear" w:color="auto" w:fill="CFF0FC"/>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200</w:t>
            </w:r>
          </w:p>
        </w:tc>
        <w:tc>
          <w:tcPr>
            <w:tcW w:w="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Selling, general and administrative expenses increased $1 million for the three months ended September 30, 2026 compared to the prior quarter.</w:t>
      </w:r>
    </w:p>
    <w:p>
      <w:pPr>
        <w:spacing w:after="0" w:line="117" w:lineRule="exact"/>
        <w:rPr>
          <w:sz w:val="20"/>
          <w:szCs w:val="20"/>
          <w:color w:val="auto"/>
        </w:rPr>
      </w:pPr>
    </w:p>
    <w:p>
      <w:pPr>
        <w:ind w:left="760" w:right="2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$52 million for the nine months ended September 30, 2026 compared to the same period in the prior year, primarily due to increases of $36 million in compensation related costs, $5 million in use taxes, $4 million in sales commissions and $4 million in travel and entertainment.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Restructuring and Other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2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60" w:type="dxa"/>
            <w:vAlign w:val="bottom"/>
            <w:gridSpan w:val="3"/>
          </w:tcPr>
          <w:p>
            <w:pPr>
              <w:jc w:val="right"/>
              <w:ind w:right="568"/>
              <w:spacing w:after="0"/>
              <w:rPr>
                <w:sz w:val="20"/>
                <w:szCs w:val="20"/>
                <w:color w:val="auto"/>
              </w:rPr>
            </w:pPr>
            <w:r>
              <w:rPr>
                <w:rFonts w:ascii="Times New Roman" w:cs="Times New Roman" w:eastAsia="Times New Roman" w:hAnsi="Times New Roman"/>
                <w:sz w:val="14"/>
                <w:szCs w:val="14"/>
                <w:color w:val="auto"/>
              </w:rPr>
              <w:t>Three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20" w:type="dxa"/>
            <w:vAlign w:val="bottom"/>
            <w:gridSpan w:val="5"/>
          </w:tcPr>
          <w:p>
            <w:pPr>
              <w:ind w:left="760"/>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142"/>
        </w:trPr>
        <w:tc>
          <w:tcPr>
            <w:tcW w:w="3820" w:type="dxa"/>
            <w:vAlign w:val="bottom"/>
            <w:gridSpan w:val="2"/>
            <w:vMerge w:val="continue"/>
          </w:tcPr>
          <w:p>
            <w:pPr>
              <w:spacing w:after="0"/>
              <w:rPr>
                <w:sz w:val="12"/>
                <w:szCs w:val="12"/>
                <w:color w:val="auto"/>
              </w:rPr>
            </w:pPr>
          </w:p>
        </w:tc>
        <w:tc>
          <w:tcPr>
            <w:tcW w:w="1340" w:type="dxa"/>
            <w:vAlign w:val="bottom"/>
          </w:tcPr>
          <w:p>
            <w:pPr>
              <w:spacing w:after="0"/>
              <w:rPr>
                <w:sz w:val="12"/>
                <w:szCs w:val="12"/>
                <w:color w:val="auto"/>
              </w:rPr>
            </w:pPr>
          </w:p>
        </w:tc>
        <w:tc>
          <w:tcPr>
            <w:tcW w:w="1320" w:type="dxa"/>
            <w:vAlign w:val="bottom"/>
            <w:tcBorders>
              <w:top w:val="single" w:sz="8" w:color="auto"/>
              <w:bottom w:val="single" w:sz="8" w:color="auto"/>
            </w:tcBorders>
            <w:gridSpan w:val="2"/>
          </w:tcPr>
          <w:p>
            <w:pPr>
              <w:jc w:val="right"/>
              <w:ind w:right="16"/>
              <w:spacing w:after="0" w:line="142" w:lineRule="exact"/>
              <w:rPr>
                <w:sz w:val="20"/>
                <w:szCs w:val="20"/>
                <w:color w:val="auto"/>
              </w:rPr>
            </w:pPr>
            <w:r>
              <w:rPr>
                <w:rFonts w:ascii="Times New Roman" w:cs="Times New Roman" w:eastAsia="Times New Roman" w:hAnsi="Times New Roman"/>
                <w:sz w:val="14"/>
                <w:szCs w:val="14"/>
                <w:color w:val="auto"/>
              </w:rPr>
              <w:t>September 30, 2026</w:t>
            </w: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June 30, 2026</w:t>
            </w: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color w:val="auto"/>
                <w:w w:val="99"/>
              </w:rPr>
              <w:t>September 30, 2026</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color w:val="auto"/>
              </w:rPr>
              <w:t>September 30, 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and other</w:t>
            </w:r>
          </w:p>
        </w:tc>
        <w:tc>
          <w:tcPr>
            <w:tcW w:w="15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360" w:type="dxa"/>
            <w:vAlign w:val="bottom"/>
            <w:gridSpan w:val="2"/>
            <w:shd w:val="clear" w:color="auto" w:fill="CFF0FC"/>
          </w:tcPr>
          <w:p>
            <w:pPr>
              <w:jc w:val="right"/>
              <w:ind w:right="100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608"/>
        </w:trPr>
        <w:tc>
          <w:tcPr>
            <w:tcW w:w="8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0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8" w:name="page39"/>
    <w:bookmarkEnd w:id="38"/>
    <w:p>
      <w:pPr>
        <w:ind w:right="120"/>
        <w:spacing w:after="0" w:line="256" w:lineRule="auto"/>
        <w:rPr>
          <w:sz w:val="20"/>
          <w:szCs w:val="20"/>
          <w:color w:val="auto"/>
        </w:rPr>
      </w:pPr>
      <w:r>
        <w:rPr>
          <w:rFonts w:ascii="Times New Roman" w:cs="Times New Roman" w:eastAsia="Times New Roman" w:hAnsi="Times New Roman"/>
          <w:sz w:val="18"/>
          <w:szCs w:val="18"/>
          <w:color w:val="auto"/>
        </w:rPr>
        <w:t>Restructuring and other charges during the three and nine months ended September 30, 2026 primarily related to the rationalization of certain facilities in Europe within PSD and VSD, which were initiated during the first and second quarters of 2026, respectively, and are expected to be completed in the first half of 2027. Charges for the three months ended June 30, 2026 and nine months ended September 30, 2026 also included severance costs related to the reorganization of certain PSD business units implemented in the first quarter of 2026. In addition, charges for the three and nine months ended September 30, 2026 included third party costs related to the pending sale of the Ophir Optics business, which is expected to close in the second quarter of 2027.</w:t>
      </w:r>
    </w:p>
    <w:p>
      <w:pPr>
        <w:spacing w:after="0" w:line="7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Restructuring and other charges during the nine months ended September 30, 2025 related primarily to severance costs incurred as a result of a global cost saving initiative implemented during the first quarter of 2025, mainly in the general metal finishing business within MSD, as well as third party costs supporting other strategic initiatives.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Legal Settlement</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7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720" w:type="dxa"/>
            <w:vAlign w:val="bottom"/>
            <w:gridSpan w:val="7"/>
          </w:tcPr>
          <w:p>
            <w:pPr>
              <w:ind w:left="380"/>
              <w:spacing w:after="0"/>
              <w:rPr>
                <w:sz w:val="20"/>
                <w:szCs w:val="20"/>
                <w:color w:val="auto"/>
              </w:rPr>
            </w:pPr>
            <w:r>
              <w:rPr>
                <w:rFonts w:ascii="Times New Roman" w:cs="Times New Roman" w:eastAsia="Times New Roman" w:hAnsi="Times New Roman"/>
                <w:sz w:val="14"/>
                <w:szCs w:val="14"/>
                <w:color w:val="auto"/>
              </w:rPr>
              <w:t>Three Months Ended</w:t>
            </w:r>
          </w:p>
        </w:tc>
        <w:tc>
          <w:tcPr>
            <w:tcW w:w="2920" w:type="dxa"/>
            <w:vAlign w:val="bottom"/>
            <w:gridSpan w:val="5"/>
          </w:tcPr>
          <w:p>
            <w:pPr>
              <w:ind w:left="760"/>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142"/>
        </w:trPr>
        <w:tc>
          <w:tcPr>
            <w:tcW w:w="2780" w:type="dxa"/>
            <w:vAlign w:val="bottom"/>
            <w:vMerge w:val="continue"/>
          </w:tcPr>
          <w:p>
            <w:pPr>
              <w:spacing w:after="0"/>
              <w:rPr>
                <w:sz w:val="12"/>
                <w:szCs w:val="12"/>
                <w:color w:val="auto"/>
              </w:rPr>
            </w:pPr>
          </w:p>
        </w:tc>
        <w:tc>
          <w:tcPr>
            <w:tcW w:w="1580" w:type="dxa"/>
            <w:vAlign w:val="bottom"/>
          </w:tcPr>
          <w:p>
            <w:pPr>
              <w:spacing w:after="0"/>
              <w:rPr>
                <w:sz w:val="12"/>
                <w:szCs w:val="12"/>
                <w:color w:val="auto"/>
              </w:rPr>
            </w:pPr>
          </w:p>
        </w:tc>
        <w:tc>
          <w:tcPr>
            <w:tcW w:w="1320" w:type="dxa"/>
            <w:vAlign w:val="bottom"/>
            <w:tcBorders>
              <w:top w:val="single" w:sz="8" w:color="auto"/>
              <w:bottom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September 30, 2026</w:t>
            </w: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June 30, 2026</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color w:val="auto"/>
                <w:w w:val="99"/>
              </w:rPr>
              <w:t>September 30, 2026</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September 30, 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Legal settlement</w:t>
            </w:r>
          </w:p>
        </w:tc>
        <w:tc>
          <w:tcPr>
            <w:tcW w:w="2020" w:type="dxa"/>
            <w:vAlign w:val="bottom"/>
            <w:gridSpan w:val="2"/>
            <w:shd w:val="clear" w:color="auto" w:fill="CFF0FC"/>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gridSpan w:val="4"/>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2026, we recorded a charge related to the resolution of a legal matter.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Fees and Expenses Related to Debt Activities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7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720" w:type="dxa"/>
            <w:vAlign w:val="bottom"/>
            <w:gridSpan w:val="7"/>
          </w:tcPr>
          <w:p>
            <w:pPr>
              <w:ind w:left="380"/>
              <w:spacing w:after="0"/>
              <w:rPr>
                <w:sz w:val="20"/>
                <w:szCs w:val="20"/>
                <w:color w:val="auto"/>
              </w:rPr>
            </w:pPr>
            <w:r>
              <w:rPr>
                <w:rFonts w:ascii="Times New Roman" w:cs="Times New Roman" w:eastAsia="Times New Roman" w:hAnsi="Times New Roman"/>
                <w:sz w:val="14"/>
                <w:szCs w:val="14"/>
                <w:color w:val="auto"/>
              </w:rPr>
              <w:t>Three Months Ended</w:t>
            </w:r>
          </w:p>
        </w:tc>
        <w:tc>
          <w:tcPr>
            <w:tcW w:w="2920" w:type="dxa"/>
            <w:vAlign w:val="bottom"/>
            <w:gridSpan w:val="5"/>
          </w:tcPr>
          <w:p>
            <w:pPr>
              <w:ind w:left="760"/>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142"/>
        </w:trPr>
        <w:tc>
          <w:tcPr>
            <w:tcW w:w="372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1320" w:type="dxa"/>
            <w:vAlign w:val="bottom"/>
            <w:tcBorders>
              <w:top w:val="single" w:sz="8" w:color="auto"/>
              <w:bottom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September 30, 2026</w:t>
            </w: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color w:val="auto"/>
              </w:rPr>
              <w:t>June 30, 2026</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color w:val="auto"/>
                <w:w w:val="99"/>
              </w:rPr>
              <w:t>September 30, 2026</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color w:val="auto"/>
              </w:rPr>
              <w:t>September 30, 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Fees and expenses related to debt activities</w:t>
            </w:r>
          </w:p>
        </w:tc>
        <w:tc>
          <w:tcPr>
            <w:tcW w:w="1080" w:type="dxa"/>
            <w:vAlign w:val="bottom"/>
            <w:gridSpan w:val="2"/>
            <w:shd w:val="clear" w:color="auto" w:fill="CFF0FC"/>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gridSpan w:val="4"/>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40"/>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2026, we recorded fees and expenses related to the Sixth Amendment to Credit Agreement, dated as of February 4, 2026, by and among us as parent borrower, the other loan parties party thereto, JPMorgan Chase Bank, N.A., as administrative agent, and each lender party thereto (the “Sixth Amendment”) as well as a fee from a foreign exchange option contract related to the 2034 Notes (as defined below). During the nine months ended September 30, 2025, we recorded fees and expenses related to the Fifth Amendment to Credit Agreement, dated as of January 24, 2025, by and among us as parent borrower, the other loan parties party thereto, JPMorgan Chase Bank, N.A., as administrative agent, and each lender party thereto (the “Fifth Amendment”).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Amortization of Intangible Assets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3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80" w:type="dxa"/>
            <w:vAlign w:val="bottom"/>
            <w:gridSpan w:val="3"/>
          </w:tcPr>
          <w:p>
            <w:pPr>
              <w:jc w:val="right"/>
              <w:ind w:right="508"/>
              <w:spacing w:after="0"/>
              <w:rPr>
                <w:sz w:val="20"/>
                <w:szCs w:val="20"/>
                <w:color w:val="auto"/>
              </w:rPr>
            </w:pPr>
            <w:r>
              <w:rPr>
                <w:rFonts w:ascii="Times New Roman" w:cs="Times New Roman" w:eastAsia="Times New Roman" w:hAnsi="Times New Roman"/>
                <w:sz w:val="14"/>
                <w:szCs w:val="14"/>
                <w:color w:val="auto"/>
              </w:rPr>
              <w:t>Three Months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20" w:type="dxa"/>
            <w:vAlign w:val="bottom"/>
            <w:gridSpan w:val="5"/>
          </w:tcPr>
          <w:p>
            <w:pPr>
              <w:ind w:left="760"/>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142"/>
        </w:trPr>
        <w:tc>
          <w:tcPr>
            <w:tcW w:w="336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1320" w:type="dxa"/>
            <w:vAlign w:val="bottom"/>
            <w:tcBorders>
              <w:top w:val="single" w:sz="8" w:color="auto"/>
              <w:bottom w:val="single" w:sz="8" w:color="auto"/>
            </w:tcBorders>
            <w:gridSpan w:val="2"/>
          </w:tcPr>
          <w:p>
            <w:pPr>
              <w:jc w:val="right"/>
              <w:ind w:right="19"/>
              <w:spacing w:after="0" w:line="142" w:lineRule="exact"/>
              <w:rPr>
                <w:sz w:val="20"/>
                <w:szCs w:val="20"/>
                <w:color w:val="auto"/>
              </w:rPr>
            </w:pPr>
            <w:r>
              <w:rPr>
                <w:rFonts w:ascii="Times New Roman" w:cs="Times New Roman" w:eastAsia="Times New Roman" w:hAnsi="Times New Roman"/>
                <w:sz w:val="14"/>
                <w:szCs w:val="14"/>
                <w:color w:val="auto"/>
              </w:rPr>
              <w:t>September 30, 2026</w:t>
            </w:r>
          </w:p>
        </w:tc>
        <w:tc>
          <w:tcPr>
            <w:tcW w:w="180" w:type="dxa"/>
            <w:vAlign w:val="bottom"/>
            <w:tcBorders>
              <w:top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June 30, 2026</w:t>
            </w:r>
          </w:p>
        </w:tc>
        <w:tc>
          <w:tcPr>
            <w:tcW w:w="24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color w:val="auto"/>
                <w:w w:val="99"/>
              </w:rPr>
              <w:t>September 30, 2026</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color w:val="auto"/>
              </w:rPr>
              <w:t>September 30, 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440" w:type="dxa"/>
            <w:vAlign w:val="bottom"/>
            <w:gridSpan w:val="2"/>
            <w:shd w:val="clear" w:color="auto" w:fill="CFF0FC"/>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30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Amortization of intangible assets for the three months ended September 30, 2026 was flat compared to the prior quarter and for the nine months ended September 30, 2026 increased $3 million compared to the same period in the prior year, primarily due to the impact of foreign exchange rates on intangible assets at foreign locations.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Expense, Net</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9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80" w:type="dxa"/>
            <w:vAlign w:val="bottom"/>
            <w:gridSpan w:val="3"/>
          </w:tcPr>
          <w:p>
            <w:pPr>
              <w:jc w:val="right"/>
              <w:ind w:right="508"/>
              <w:spacing w:after="0"/>
              <w:rPr>
                <w:sz w:val="20"/>
                <w:szCs w:val="20"/>
                <w:color w:val="auto"/>
              </w:rPr>
            </w:pPr>
            <w:r>
              <w:rPr>
                <w:rFonts w:ascii="Times New Roman" w:cs="Times New Roman" w:eastAsia="Times New Roman" w:hAnsi="Times New Roman"/>
                <w:sz w:val="14"/>
                <w:szCs w:val="14"/>
                <w:color w:val="auto"/>
              </w:rPr>
              <w:t>Three Months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20" w:type="dxa"/>
            <w:vAlign w:val="bottom"/>
            <w:gridSpan w:val="5"/>
          </w:tcPr>
          <w:p>
            <w:pPr>
              <w:ind w:left="760"/>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142"/>
        </w:trPr>
        <w:tc>
          <w:tcPr>
            <w:tcW w:w="2920" w:type="dxa"/>
            <w:vAlign w:val="bottom"/>
            <w:vMerge w:val="continue"/>
          </w:tcPr>
          <w:p>
            <w:pPr>
              <w:spacing w:after="0"/>
              <w:rPr>
                <w:sz w:val="12"/>
                <w:szCs w:val="12"/>
                <w:color w:val="auto"/>
              </w:rPr>
            </w:pPr>
          </w:p>
        </w:tc>
        <w:tc>
          <w:tcPr>
            <w:tcW w:w="1440" w:type="dxa"/>
            <w:vAlign w:val="bottom"/>
          </w:tcPr>
          <w:p>
            <w:pPr>
              <w:spacing w:after="0"/>
              <w:rPr>
                <w:sz w:val="12"/>
                <w:szCs w:val="12"/>
                <w:color w:val="auto"/>
              </w:rPr>
            </w:pPr>
          </w:p>
        </w:tc>
        <w:tc>
          <w:tcPr>
            <w:tcW w:w="1320" w:type="dxa"/>
            <w:vAlign w:val="bottom"/>
            <w:tcBorders>
              <w:top w:val="single" w:sz="8" w:color="auto"/>
              <w:bottom w:val="single" w:sz="8" w:color="auto"/>
            </w:tcBorders>
            <w:gridSpan w:val="2"/>
          </w:tcPr>
          <w:p>
            <w:pPr>
              <w:jc w:val="right"/>
              <w:ind w:right="19"/>
              <w:spacing w:after="0" w:line="142" w:lineRule="exact"/>
              <w:rPr>
                <w:sz w:val="20"/>
                <w:szCs w:val="20"/>
                <w:color w:val="auto"/>
              </w:rPr>
            </w:pPr>
            <w:r>
              <w:rPr>
                <w:rFonts w:ascii="Times New Roman" w:cs="Times New Roman" w:eastAsia="Times New Roman" w:hAnsi="Times New Roman"/>
                <w:sz w:val="14"/>
                <w:szCs w:val="14"/>
                <w:color w:val="auto"/>
              </w:rPr>
              <w:t>September 30, 2026</w:t>
            </w:r>
          </w:p>
        </w:tc>
        <w:tc>
          <w:tcPr>
            <w:tcW w:w="180" w:type="dxa"/>
            <w:vAlign w:val="bottom"/>
            <w:tcBorders>
              <w:top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June 30, 2026</w:t>
            </w:r>
          </w:p>
        </w:tc>
        <w:tc>
          <w:tcPr>
            <w:tcW w:w="24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color w:val="auto"/>
                <w:w w:val="99"/>
              </w:rPr>
              <w:t>September 30, 2026</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color w:val="auto"/>
              </w:rPr>
              <w:t>September 30, 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880" w:type="dxa"/>
            <w:vAlign w:val="bottom"/>
            <w:gridSpan w:val="2"/>
            <w:shd w:val="clear" w:color="auto" w:fill="CFF0FC"/>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30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net was flat for the three months ended September 30, 2026 compared to the prior quarter.</w:t>
      </w:r>
    </w:p>
    <w:p>
      <w:pPr>
        <w:spacing w:after="0" w:line="117"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Interest expense, net, decreased by $36 million for the nine months ended September 30, 2026, compared to the same period in the prior year, primarily due to the Sixth Amendment which resulted in a reduction in interest rates under our Term Loan Facility (as defined below), and the 2034 Notes Offering (as defined below), the proceeds of which we used, together with $100 million of cash on hand, to prepay approximately $1.3 billion of our USD Tranche B (as defined below), as well as</w:t>
      </w:r>
    </w:p>
    <w:p>
      <w:pPr>
        <w:spacing w:after="0" w:line="13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93" w:right="339" w:bottom="1440" w:gutter="0" w:footer="0" w:header="0"/>
        </w:sectPr>
      </w:pPr>
    </w:p>
    <w:bookmarkStart w:id="39" w:name="page40"/>
    <w:bookmarkEnd w:id="39"/>
    <w:p>
      <w:pPr>
        <w:ind w:right="240"/>
        <w:spacing w:after="0" w:line="282" w:lineRule="auto"/>
        <w:rPr>
          <w:sz w:val="20"/>
          <w:szCs w:val="20"/>
          <w:color w:val="auto"/>
        </w:rPr>
      </w:pPr>
      <w:r>
        <w:rPr>
          <w:rFonts w:ascii="Times New Roman" w:cs="Times New Roman" w:eastAsia="Times New Roman" w:hAnsi="Times New Roman"/>
          <w:sz w:val="18"/>
          <w:szCs w:val="18"/>
          <w:color w:val="auto"/>
        </w:rPr>
        <w:t>various quarterly voluntary prepayments on the USD Tranche B in the aggregate amounts of $400 million and $200 million in 2025 and 2026, respectively, and on the Euro Tranche B (as defined below) in the amount of €50 million in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Loss on Extinguishment of Debt</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3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40" w:type="dxa"/>
            <w:vAlign w:val="bottom"/>
            <w:gridSpan w:val="3"/>
          </w:tcPr>
          <w:p>
            <w:pPr>
              <w:jc w:val="right"/>
              <w:ind w:right="568"/>
              <w:spacing w:after="0"/>
              <w:rPr>
                <w:sz w:val="20"/>
                <w:szCs w:val="20"/>
                <w:color w:val="auto"/>
              </w:rPr>
            </w:pPr>
            <w:r>
              <w:rPr>
                <w:rFonts w:ascii="Times New Roman" w:cs="Times New Roman" w:eastAsia="Times New Roman" w:hAnsi="Times New Roman"/>
                <w:sz w:val="14"/>
                <w:szCs w:val="14"/>
                <w:color w:val="auto"/>
              </w:rPr>
              <w:t>Three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20" w:type="dxa"/>
            <w:vAlign w:val="bottom"/>
            <w:gridSpan w:val="5"/>
          </w:tcPr>
          <w:p>
            <w:pPr>
              <w:ind w:left="760"/>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142"/>
        </w:trPr>
        <w:tc>
          <w:tcPr>
            <w:tcW w:w="332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320" w:type="dxa"/>
            <w:vAlign w:val="bottom"/>
            <w:tcBorders>
              <w:top w:val="single" w:sz="8" w:color="auto"/>
              <w:bottom w:val="single" w:sz="8" w:color="auto"/>
            </w:tcBorders>
            <w:gridSpan w:val="2"/>
          </w:tcPr>
          <w:p>
            <w:pPr>
              <w:jc w:val="right"/>
              <w:ind w:right="19"/>
              <w:spacing w:after="0" w:line="142" w:lineRule="exact"/>
              <w:rPr>
                <w:sz w:val="20"/>
                <w:szCs w:val="20"/>
                <w:color w:val="auto"/>
              </w:rPr>
            </w:pPr>
            <w:r>
              <w:rPr>
                <w:rFonts w:ascii="Times New Roman" w:cs="Times New Roman" w:eastAsia="Times New Roman" w:hAnsi="Times New Roman"/>
                <w:sz w:val="14"/>
                <w:szCs w:val="14"/>
                <w:color w:val="auto"/>
              </w:rPr>
              <w:t>September 30, 2026</w:t>
            </w: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June 30, 2026</w:t>
            </w: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color w:val="auto"/>
                <w:w w:val="99"/>
              </w:rPr>
              <w:t>September 30, 2026</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color w:val="auto"/>
              </w:rPr>
              <w:t>September 30, 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480" w:type="dxa"/>
            <w:vAlign w:val="bottom"/>
            <w:gridSpan w:val="2"/>
            <w:shd w:val="clear" w:color="auto" w:fill="CFF0FC"/>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360" w:type="dxa"/>
            <w:vAlign w:val="bottom"/>
            <w:gridSpan w:val="2"/>
            <w:shd w:val="clear" w:color="auto" w:fill="CFF0FC"/>
          </w:tcPr>
          <w:p>
            <w:pPr>
              <w:jc w:val="right"/>
              <w:ind w:right="100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2026 and June 30, 2026, we recorded a loss on extinguishment of debt as a result of the acceleration of deferred financing and original issue discounts associated with our loans under the Term Loan Facility in connection with voluntary prepayments.</w:t>
      </w:r>
    </w:p>
    <w:p>
      <w:pPr>
        <w:spacing w:after="0" w:line="6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2026, in connection with the Sixth Amendment and multiple voluntary prepayments on our USD Tranche B loan, we recorded a loss on extinguishment of debt as a result of the acceleration of deferred financing and original issue discounts associated with our loans under the Term Loan Facility.</w:t>
      </w:r>
    </w:p>
    <w:p>
      <w:pPr>
        <w:spacing w:after="0" w:line="68"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2025, in connection with the Fifth Amendment and multiple voluntary prepayments, we recorded a loss on extinguishment of debt as a result of the acceleration of deferred financing and original issue discounts associated with our loans under the Term Loan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(Income) Expense, Net</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2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0" w:type="dxa"/>
            <w:vAlign w:val="bottom"/>
            <w:gridSpan w:val="4"/>
          </w:tcPr>
          <w:p>
            <w:pPr>
              <w:jc w:val="right"/>
              <w:ind w:right="528"/>
              <w:spacing w:after="0"/>
              <w:rPr>
                <w:sz w:val="20"/>
                <w:szCs w:val="20"/>
                <w:color w:val="auto"/>
              </w:rPr>
            </w:pPr>
            <w:r>
              <w:rPr>
                <w:rFonts w:ascii="Times New Roman" w:cs="Times New Roman" w:eastAsia="Times New Roman" w:hAnsi="Times New Roman"/>
                <w:sz w:val="14"/>
                <w:szCs w:val="14"/>
                <w:color w:val="auto"/>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20" w:type="dxa"/>
            <w:vAlign w:val="bottom"/>
            <w:gridSpan w:val="6"/>
          </w:tcPr>
          <w:p>
            <w:pPr>
              <w:ind w:left="760"/>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142"/>
        </w:trPr>
        <w:tc>
          <w:tcPr>
            <w:tcW w:w="3200" w:type="dxa"/>
            <w:vAlign w:val="bottom"/>
            <w:vMerge w:val="continue"/>
          </w:tcPr>
          <w:p>
            <w:pPr>
              <w:spacing w:after="0"/>
              <w:rPr>
                <w:sz w:val="12"/>
                <w:szCs w:val="12"/>
                <w:color w:val="auto"/>
              </w:rPr>
            </w:pPr>
          </w:p>
        </w:tc>
        <w:tc>
          <w:tcPr>
            <w:tcW w:w="1160" w:type="dxa"/>
            <w:vAlign w:val="bottom"/>
          </w:tcPr>
          <w:p>
            <w:pPr>
              <w:spacing w:after="0"/>
              <w:rPr>
                <w:sz w:val="12"/>
                <w:szCs w:val="12"/>
                <w:color w:val="auto"/>
              </w:rPr>
            </w:pPr>
          </w:p>
        </w:tc>
        <w:tc>
          <w:tcPr>
            <w:tcW w:w="1320" w:type="dxa"/>
            <w:vAlign w:val="bottom"/>
            <w:tcBorders>
              <w:top w:val="single" w:sz="8" w:color="auto"/>
              <w:bottom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color w:val="auto"/>
              </w:rPr>
              <w:t>September 30, 2026</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June 30, 2026</w:t>
            </w:r>
          </w:p>
        </w:tc>
        <w:tc>
          <w:tcPr>
            <w:tcW w:w="2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September 30, 2026</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color w:val="auto"/>
              </w:rPr>
              <w:t>September 30, 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0" w:type="dxa"/>
            <w:vAlign w:val="bottom"/>
            <w:gridSpan w:val="2"/>
            <w:shd w:val="clear" w:color="auto" w:fill="CFF0FC"/>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1200" w:type="dxa"/>
            <w:vAlign w:val="bottom"/>
            <w:gridSpan w:val="2"/>
            <w:shd w:val="clear" w:color="auto" w:fill="CFF0FC"/>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Other (income) expense, net for the three and nine months ended September 30, 2026, three months ended June 30, 2026 and nine months ended September 30, 2025 consisted primarily of net foreign exchange and fair value gains and losses.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Provision for Income Taxes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1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80" w:type="dxa"/>
            <w:vAlign w:val="bottom"/>
            <w:gridSpan w:val="3"/>
          </w:tcPr>
          <w:p>
            <w:pPr>
              <w:jc w:val="right"/>
              <w:ind w:right="508"/>
              <w:spacing w:after="0"/>
              <w:rPr>
                <w:sz w:val="20"/>
                <w:szCs w:val="20"/>
                <w:color w:val="auto"/>
              </w:rPr>
            </w:pPr>
            <w:r>
              <w:rPr>
                <w:rFonts w:ascii="Times New Roman" w:cs="Times New Roman" w:eastAsia="Times New Roman" w:hAnsi="Times New Roman"/>
                <w:sz w:val="14"/>
                <w:szCs w:val="14"/>
                <w:color w:val="auto"/>
              </w:rPr>
              <w:t>Three Months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20" w:type="dxa"/>
            <w:vAlign w:val="bottom"/>
            <w:gridSpan w:val="5"/>
          </w:tcPr>
          <w:p>
            <w:pPr>
              <w:ind w:left="760"/>
              <w:spacing w:after="0"/>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142"/>
        </w:trPr>
        <w:tc>
          <w:tcPr>
            <w:tcW w:w="314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1320" w:type="dxa"/>
            <w:vAlign w:val="bottom"/>
            <w:tcBorders>
              <w:top w:val="single" w:sz="8" w:color="auto"/>
              <w:bottom w:val="single" w:sz="8" w:color="auto"/>
            </w:tcBorders>
            <w:gridSpan w:val="2"/>
          </w:tcPr>
          <w:p>
            <w:pPr>
              <w:jc w:val="right"/>
              <w:ind w:right="19"/>
              <w:spacing w:after="0" w:line="142" w:lineRule="exact"/>
              <w:rPr>
                <w:sz w:val="20"/>
                <w:szCs w:val="20"/>
                <w:color w:val="auto"/>
              </w:rPr>
            </w:pPr>
            <w:r>
              <w:rPr>
                <w:rFonts w:ascii="Times New Roman" w:cs="Times New Roman" w:eastAsia="Times New Roman" w:hAnsi="Times New Roman"/>
                <w:sz w:val="14"/>
                <w:szCs w:val="14"/>
                <w:color w:val="auto"/>
              </w:rPr>
              <w:t>September 30, 2026</w:t>
            </w:r>
          </w:p>
        </w:tc>
        <w:tc>
          <w:tcPr>
            <w:tcW w:w="180" w:type="dxa"/>
            <w:vAlign w:val="bottom"/>
            <w:tcBorders>
              <w:top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June 30, 2026</w:t>
            </w:r>
          </w:p>
        </w:tc>
        <w:tc>
          <w:tcPr>
            <w:tcW w:w="24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color w:val="auto"/>
                <w:w w:val="99"/>
              </w:rPr>
              <w:t>September 30, 2026</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color w:val="auto"/>
              </w:rPr>
              <w:t>September 30, 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60" w:type="dxa"/>
            <w:vAlign w:val="bottom"/>
            <w:gridSpan w:val="2"/>
            <w:shd w:val="clear" w:color="auto" w:fill="CFF0FC"/>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30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effective tax rates for the three months ended September 30, 2026 and June 30, 2026 were 17.6% and 17.8%, respectively. The effective tax rate for both periods was lower than the U.S. statutory tax rate, mainly due to the U.S. deduction for foreign-derived deduction eligible income (“FDDEI”) and research and development tax credits, partially offset by foreign withholding taxes and a waiver of deductions related to U.S. base erosion payments.</w:t>
      </w:r>
    </w:p>
    <w:p>
      <w:pPr>
        <w:spacing w:after="0" w:line="7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effective tax rates for the nine months ended September 30, 2026 and September 30, 2025 were 17.7% and 12.7%, respectively. Our effective tax rate for the nine months ended September 30, 2026 was lower than the U.S. statutory tax rate, mainly due to the U.S. deduction for FDDEI and research and development tax credits, partially offset by foreign withholding taxes and a waiver of deductions related to U.S. base erosion payments. Our effective tax rate for the nine months ended September 30, 2025 was lower than the U.S. statutory tax rate mainly due to the U.S. deduction for foreign-derived intangible income and research and development tax credits, partially offset by foreign withholding taxes and a waiver of deductions related to U.S. base erosion payments.</w:t>
      </w:r>
    </w:p>
    <w:p>
      <w:pPr>
        <w:spacing w:after="0" w:line="79"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color w:val="auto"/>
        </w:rPr>
        <w:t>Our future effective tax rate depends on various factors, including the impact of tax legislation, further interpretations and guidance from U.S. federal and state governments on the impact of proposed regulations issued by the Internal Revenue Service, as well as the geographic composition of our pre-tax income and changes in income tax reserves for unrecognized tax benefits. We monitor these factors and timely adjust our estimates of the effective tax rate accordingly. While we believe we have adequately provided for all tax positions, amounts asserted by taxing authorities could materially differ from our accrued positions as a result of uncertain and complex application of tax laws and regulations. Additionally, the recognition and measurement of certain tax benefits include estimates and judgment by management. Accordingly, we could record additional provisions or benefits for U.S. federal, state, and foreign tax matters in future periods as new information becomes available.</w:t>
      </w:r>
    </w:p>
    <w:p>
      <w:pPr>
        <w:spacing w:after="0" w:line="13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93" w:right="339" w:bottom="1440" w:gutter="0" w:footer="0" w:header="0"/>
        </w:sectPr>
      </w:pPr>
    </w:p>
    <w:bookmarkStart w:id="40" w:name="page41"/>
    <w:bookmarkEnd w:id="40"/>
    <w:p>
      <w:pPr>
        <w:ind w:right="20"/>
        <w:spacing w:after="0" w:line="255" w:lineRule="auto"/>
        <w:rPr>
          <w:sz w:val="20"/>
          <w:szCs w:val="20"/>
          <w:color w:val="auto"/>
        </w:rPr>
      </w:pPr>
      <w:r>
        <w:rPr>
          <w:rFonts w:ascii="Times New Roman" w:cs="Times New Roman" w:eastAsia="Times New Roman" w:hAnsi="Times New Roman"/>
          <w:sz w:val="18"/>
          <w:szCs w:val="18"/>
          <w:color w:val="auto"/>
        </w:rPr>
        <w:t>The Organisation for Economic Co-operation and Development (“OECD”) and participating OECD member countries have issued rules introducing a 15% global minimum corporate tax rate for large multinational enterprise groups, also known as “Pillar Two.” These rules were amended in January 2026 by the OECD “Side-by-Side package” in particular to address the coexistence of U.S. minimum tax regimes and ensure that U.S. based multinational groups are not subject to both primary and secondary top-up taxes under Pillar Two. The adoption and effective dates of Pillar Two and any additional rules vary by country. However, Pillar Two has not had a material impact on our financial results for the nine months ended September 30, 2026 and we do not expect Pillar Two to have a material impact on our financial results for the year ending December 31, 2026. We will continue to monitor and evaluate the impact of any developing legislation.</w:t>
      </w:r>
    </w:p>
    <w:p>
      <w:pPr>
        <w:spacing w:after="0" w:line="81"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color w:val="auto"/>
        </w:rPr>
        <w:t>On July 4, 2025, the One Big Beautiful Bill Act (“OBBBA”) was enacted into law. The OBBBA includes changes to the U.S. tax code, such as the permanent extension of certain expiring provisions of the Tax Cuts and Jobs Act, modifications to the international tax framework, and the restoration of favorable tax treatment for certain business provisions. The OBBBA has multiple effective dates, with certain provisions effective in 2025 and others implemented through 2027. These changes to the U.S. tax code have not had a material impact on our results since the enactment of OBBBA and we do not anticipate these changes to the U.S. tax code will have a material impact on our results in future periods.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Cash and cash equivalents at September 30, 2026 and December 31, 2025 totaled $676 million and $675 million, respectively. The primary driver of our current and anticipated future cash flows is, and we expect will continue to be, cash generated from operations, consisting primarily of our net income, excluding non-cash charges and changes in operating assets and liabilities.</w:t>
      </w:r>
    </w:p>
    <w:p>
      <w:pPr>
        <w:spacing w:after="0" w:line="6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total cash and cash equivalents at September 30, 2026 consisted of $152 million held in the United States and $524 million held by our foreign subsidiaries. We believe that our current cash and cash equivalents, and available borrowing capacity, together with the cash anticipated to be generated from our operations, will be sufficient to satisfy our estimated working capital needs, planned capital expenditure requirements, payments of debt, potential settlement of convertible debt conversions and any future cash dividends declared by our Board of Directors or share repurchases through at least the next 12 months and the foreseeable future.</w:t>
      </w:r>
    </w:p>
    <w:p>
      <w:pPr>
        <w:spacing w:after="0" w:line="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periods when our sales are growing, higher sales to customers will result in increased trade receivables, and inventories will generally increase as we build products for future sales. This may result in lower cash generated from operations. Conversely, in periods when our sales are declining, our trade accounts receivable and inventory balances will generally decrease, resulting in increased cash from operations.</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was $588 million for the nine months ended September 30, 2026 and resulted from net income of $495 million, which included non-cash charges of $285 million, mainly the result of $259 million in depreciation and amortization, partially offset by deferred income taxes of $64 million and a net increase in working capital of $192 million. The net increase in working capital was primarily due to increases in accounts receivable of $248 million as a result of higher sales and inventory of $263 million as a result of higher demand. The net increase in working capital was partially offset by an increase in accounts payable of $214 million as a result of increased demand.</w:t>
      </w:r>
    </w:p>
    <w:p>
      <w:pPr>
        <w:spacing w:after="0" w:line="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$129 million for the nine months ended September 30, 2026 primarily related to capital expenditures for new facility additions in Malaysia and China.</w:t>
      </w:r>
    </w:p>
    <w:p>
      <w:pPr>
        <w:spacing w:after="0" w:line="5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was $466 million for the nine months ended September 30, 2026, primarily due to net proceeds of €1.0 billion aggregate principal amount from the 2034 Notes, as defined and described further below, offset by the prepayment of $1.3 billion of the USD Tranche B loan using the proceeds from the 2034 Notes, together with cash on hand. Net cash used in financing activities also included additional payments on the USD and Euro Tranche B loans of $268 million, net payments related to employee stock awards of $43 million, payments for deferred financing costs related to the issuance of the 2034 Notes of $22 million and dividend payments of $51 million.</w:t>
      </w:r>
    </w:p>
    <w:p>
      <w:pPr>
        <w:spacing w:after="0" w:line="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On July 25, 2011, our Board of Directors approved a share repurchase program for the repurchase of up to an aggregate of $200 million of our outstanding common stock (the “2011 Program”).</w:t>
      </w:r>
    </w:p>
    <w:p>
      <w:pPr>
        <w:spacing w:after="0" w:line="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we did not repurchase any shares of common stock under the 2011 Program. During the nine months ended September 30, 2025, we repurchased approximately 546,000 shares of our common stock for total consideration of $45 million under the 2011 Program.</w:t>
      </w:r>
    </w:p>
    <w:p>
      <w:pPr>
        <w:spacing w:after="0" w:line="6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November 2, 2026, our Board of Directors approved a new share repurchase program for the repurchase of up to an aggregate of $500 million of our outstanding common stock (the “2026 Program”) from time to time in open market purchases, privately negotiated transactions or through other appropriate means. The 2026 Program replaced the 2011 Program, under which we repurchased approximately 3.1 million shares of common stock for approximately $172 million.</w:t>
      </w:r>
    </w:p>
    <w:p>
      <w:pPr>
        <w:spacing w:after="0" w:line="13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93" w:right="339" w:bottom="1440" w:gutter="0" w:footer="0" w:header="0"/>
        </w:sectPr>
      </w:pPr>
    </w:p>
    <w:bookmarkStart w:id="41" w:name="page42"/>
    <w:bookmarkEnd w:id="41"/>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timing and quantity of any shares repurchased will depend upon a variety of factors, including business conditions, stock market conditions and business development activities, including, but not limited to, merger and acquisition opportunities. The Board of Directors may suspend or terminate the 2026 Program at any time. Any repurchased shares are held by us as authorized but unissued shares.</w:t>
      </w:r>
    </w:p>
    <w:p>
      <w:pPr>
        <w:spacing w:after="0" w:line="68"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Holders of our common stock are entitled to receive dividends when and if they are declared by our Board of Directors. During each of the first three quarters of 2026, we paid cash dividends of $0.25 per share, totaling in aggregate $51 million during the nine months ended September 30, 2026. During each of the first three quarters of 2025, we paid cash dividends of $0.22 per share, totaling in aggregate $44 million during the nine months ended September 30, 2025.</w:t>
      </w:r>
    </w:p>
    <w:p>
      <w:pPr>
        <w:spacing w:after="0" w:line="72" w:lineRule="exact"/>
        <w:rPr>
          <w:sz w:val="20"/>
          <w:szCs w:val="20"/>
          <w:color w:val="auto"/>
        </w:rPr>
      </w:pPr>
    </w:p>
    <w:p>
      <w:pPr>
        <w:jc w:val="both"/>
        <w:ind w:right="760"/>
        <w:spacing w:after="0" w:line="266" w:lineRule="auto"/>
        <w:rPr>
          <w:sz w:val="20"/>
          <w:szCs w:val="20"/>
          <w:color w:val="auto"/>
        </w:rPr>
      </w:pPr>
      <w:r>
        <w:rPr>
          <w:rFonts w:ascii="Times New Roman" w:cs="Times New Roman" w:eastAsia="Times New Roman" w:hAnsi="Times New Roman"/>
          <w:sz w:val="18"/>
          <w:szCs w:val="18"/>
          <w:color w:val="auto"/>
        </w:rPr>
        <w:t>On November 2, 2026, our Board of Directors declared a quarterly cash dividend of $0.25 per share to be paid on December 7, 2026 to stockholders of record as of November 25, 2026. Future dividend declarations, if any, as well as the record and payment dates for such dividends, are subject to the final determination of our Board of Directors.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Facilities</w:t>
      </w:r>
    </w:p>
    <w:p>
      <w:pPr>
        <w:spacing w:after="0" w:line="22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August 17, 2022, we entered into a credit agreement with JPMorgan Chase Bank, N.A., as administrative agent and collateral agent, Barclays Bank PLC, and the lenders from time to time party thereto, which we have since amended several times, including most recently in February 2026 (as amended, the “Credit Agreement”). As of September 30, 2026, after giving effect to all amendments and repayments prior to such date, the Credit Agreement provided for (i) a senior secured term loan facility comprised of two tranches: a $710 million loan (as refinanced and otherwise modified from time to time, the “USD Tranche B”) and a €533 million loan (as refinanced and otherwise modified from time to time, the “Euro Tranche B” and together with the USD Tranche B, the “Term Loan Facility”) and (ii) a senior secured revolving credit facility with aggregate commitments of $1.0 billion (as refinanced and otherwise modified from time to time, the “Revolving Facility” and, together with the Term Loan Facility, the “Credit Facilities”).</w:t>
      </w:r>
    </w:p>
    <w:p>
      <w:pPr>
        <w:spacing w:after="0" w:line="8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of September 30, 2026, borrowings under the Credit Facilities bore interest at a rate per annum equal to, at our option, any of the following, plus, in each case, an applicable margin: (a) with respect to the USD Tranche B and the Revolving Facility, (x) a base rate determined by reference to the highest of (1) the federal funds effective rate plus 0.50%, (2) the prime rate quoted in The Wall Street Journal, or (3) a forward-looking term rate based on the variable secured overnight financing rate (“Term SOFR”) for an interest period of one month, plus 1.00%, and (y) a Term SOFR rate for the interest period relevant to such borrowing; and (b) with respect to the Euro Tranche B, a Euro Interbank Offered Rate (“EURIBOR”) rate determined by reference to the costs of funds for Euro deposits for the interest period relevant to such borrowing adjusted for certain additional costs, in each case of clauses (a) and (b) above subject to a rate floor of 0.0%. As of September 30, 2026, the applicable margins for borrowings under the Credit Facilities were (i) under the USD Tranche B and the Revolving Facility, 0.75% with respect to base rate borrowings and 1.75% with respect to Term SOFR borrowings and (ii) under the Euro Tranche B, 2.00%.</w:t>
      </w:r>
    </w:p>
    <w:p>
      <w:pPr>
        <w:spacing w:after="0" w:line="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to paying interest on outstanding principal under the Credit Facilities, we are required to pay a commitment fee in respect of the unutilized commitments under the Revolving Facility. The commitment fee is subject to adjustment based on our first lien net leverage ratio as of the end of the preceding fiscal quarter. As of September 30, 2026, the commitment fee was 0.25% per annum. We must also pay customary letter of credit fees and agency fees.</w:t>
      </w:r>
    </w:p>
    <w:p>
      <w:pPr>
        <w:spacing w:after="0" w:line="7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February 4, 2026, we entered into the Sixth Amendment, pursuant to which we, among other things, (i) refinanced our then-existing USD Tranche B loan and Euro Tranche B loan with the $914 million USD Tranche B loan and the €587 million Euro Tranche B loan, (ii) refinanced and increased the commitments under our then-existing Revolving Facility with the $1.0 billion Revolving Facility, (iii) decreased the applicable margin for the USD Tranche B from 2.00% to 1.75% with respect to Term SOFR borrowings and from 1.00% to 0.75% with respect to base rate borrowings, (iv) decreased the applicable margin for the Euro Tranche B from 2.50% to 2.00%, (v) decreased the applicable margin under the Revolving Facility from 2.50% to 1.75% with respect to SOFR borrowings and from 1.50% to 0.75% with respect to base rate borrowings, (vi) eliminated the credit spread adjustment applicable to SOFR borrowings of the Revolving Facility and (vii) extended the maturities of the Term Loan Facility to February 2033 and the Revolving Facility to February 2031. The refinanced USD Tranche B loan and Euro Tranche B loan were issued without original issue discount. In connection with the execution of the Sixth Amendment, we paid customary fees and expenses to JPMorgan Chase Bank, N.A.</w:t>
      </w:r>
    </w:p>
    <w:p>
      <w:pPr>
        <w:spacing w:after="0" w:line="86"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On February 4, 2026, concurrently with the effectiveness of the Sixth Amendment, we made a voluntary prepayment of approximately $1.3 billion principal amount on the USD Tranche B loan consisting of $1.2 billion from the net proceeds from the 2034 Notes (as defined below), together with $100 million of cash on hand, reducing the outstanding principal amount of the USD Tranche B loan from approximately $2.2 billion to $914 million.</w:t>
      </w:r>
    </w:p>
    <w:p>
      <w:pPr>
        <w:spacing w:after="0" w:line="13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93" w:right="339" w:bottom="1440" w:gutter="0" w:footer="0" w:header="0"/>
        </w:sectPr>
      </w:pPr>
    </w:p>
    <w:bookmarkStart w:id="42" w:name="page43"/>
    <w:bookmarkEnd w:id="42"/>
    <w:p>
      <w:pPr>
        <w:ind w:right="140"/>
        <w:spacing w:after="0" w:line="266" w:lineRule="auto"/>
        <w:rPr>
          <w:sz w:val="20"/>
          <w:szCs w:val="20"/>
          <w:color w:val="auto"/>
        </w:rPr>
      </w:pPr>
      <w:r>
        <w:rPr>
          <w:rFonts w:ascii="Times New Roman" w:cs="Times New Roman" w:eastAsia="Times New Roman" w:hAnsi="Times New Roman"/>
          <w:sz w:val="18"/>
          <w:szCs w:val="18"/>
          <w:color w:val="auto"/>
        </w:rPr>
        <w:t>On each of May 6, 2026 and August 4, 2026, we made a voluntary prepayment of $100 million principal amount on the USD Tranche B loan. On September 10, 2026, we made a voluntary prepayment of €50 million principal amount on the Euro Tranche B loan. On November 4, 2026, we made a voluntary prepayment of $100 million principal amount on the USD Tranche B loan.</w:t>
      </w:r>
    </w:p>
    <w:p>
      <w:pPr>
        <w:spacing w:after="0" w:line="6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Under the Credit Agreement, we are required to prepay outstanding term loans, subject to certain exceptions, with portions of our annual excess cash flow as well as with the net cash proceeds of certain of its asset sales, certain casualty and condemnation events and the incurrence or issuances of certain debt. If at any time the aggregate amount of outstanding loans, unreimbursed letter of credit drawings and undrawn letters of credit under the Revolving Facility exceeds the aggregate commitments under the Revolving Facility, we are required to repay outstanding loans and/or cash collateralize letters of credit, with no reduction of the commitment amount.</w:t>
      </w:r>
    </w:p>
    <w:p>
      <w:pPr>
        <w:spacing w:after="0" w:line="75"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We may voluntarily prepay outstanding loans under the Credit Facilities from time to time, subject to certain conditions, without premium or penalty other than customary “breakage” costs with respect to Term SOFR or EURIBOR loans. Additionally, we may voluntarily reduce the unutilized portion of the commitment amount under the Revolving Facility.</w:t>
      </w:r>
    </w:p>
    <w:p>
      <w:pPr>
        <w:spacing w:after="0" w:line="6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of September 30, 2026, we were required to make scheduled quarterly principal payments equal to $2 million with respect to the USD Tranche B and €2 million with respect to the Euro Tranche B, in each case with the balance due thereunder on the maturity date of the Term Loan Facility. There is no scheduled amortization under the Revolving Facility. Any principal amount outstanding under the Revolving Facility is due and payable in full on the maturity date of the Revolving Facility.</w:t>
      </w:r>
    </w:p>
    <w:p>
      <w:pPr>
        <w:spacing w:after="0" w:line="7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All obligations under the Credit Facilities are guaranteed by certain of our wholly-owned domestic subsidiaries and are required to be guaranteed by certain of our future wholly-owned domestic subsidiaries, and are secured by substantially all of our assets and the assets of such subsidiaries, subject to certain exceptions and exclusions.</w:t>
      </w:r>
    </w:p>
    <w:p>
      <w:pPr>
        <w:spacing w:after="0" w:line="6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Under the Credit Agreement, we have the ability to incur additional incremental debt facilities in an amount up to (x) the greater of (1) approximately $1.0 billion and (2) 75% of consolidated last 12 months earnings before interest, taxes, depreciation, and amortization, plus (y) an amount equal to the sum of all voluntary prepayments of term loans under the Term Loan Facility, plus (z) an additional unlimited amount subject to pro forma compliance with certain leverage ratio tests (based on the security and priority of such incremental debt).</w:t>
      </w:r>
    </w:p>
    <w:p>
      <w:pPr>
        <w:spacing w:after="0" w:line="7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Credit Agreement contains customary representations and warranties, covenants and provisions relating to events of default. As of September 30, 2026, we were in compliance with all covenants under the Credit Agreement. The USD Tranche B and the Euro Tranche B are not subject to financial maintenance covenants.</w:t>
      </w:r>
    </w:p>
    <w:p>
      <w:pPr>
        <w:spacing w:after="0" w:line="6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As of September 30, 2026, the weighted average interest rate of the Term Loan Facility was 4.99%. As of September 30, 2026, there were no borrowings under the Revolving Facility.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Convertible Notes</w:t>
      </w:r>
    </w:p>
    <w:p>
      <w:pPr>
        <w:spacing w:after="0" w:line="225"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On May 16, 2024, we completed a private offering of $1.4 billion aggregate principal amount of convertible senior notes due 2030 (the “Convertible Notes”).</w:t>
      </w:r>
    </w:p>
    <w:p>
      <w:pPr>
        <w:spacing w:after="0" w:line="5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used approximately $167 million of the net proceeds from the offering to pay the cost of the capped call transactions described below. We used the remaining net proceeds from the offering to repay approximately $1.2 billion in borrowings outstanding under the USD Tranche B, together with accrued interest, as well as for general corporate purposes.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 Indenture and the Convertible Notes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May 16, 2024, we entered into an indenture (the “Convertible Notes Indenture”) with respect to the Convertible Notes with U.S. Bank Trust Company, National Association, as trustee (the “Convertible Notes Trustee”). Under the Convertible Notes Indenture, the Convertible Notes are senior unsecured obligations of ours and bear interest at a coupon rate of 1.25% per annum, with interest payable semiannually in arrears on June 1 and December 1 of each year, beginning on December 1, 2024. The Convertible Notes will mature on June 1, 2030, unless earlier converted, redeemed or repurchased in accordance with their terms.</w:t>
      </w:r>
    </w:p>
    <w:p>
      <w:pPr>
        <w:spacing w:after="0" w:line="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Subject to certain conditions, on or after June 5, 2027, we may redeem for cash all or any portion of the Convertible Notes at a redemption price equal to 100% of the principal amount of the Convertible Notes to be redeemed, plus accrued and unpaid interest to, but excluding, the redemption date, if the last reported sale price of our common stock has been at least 130% of the conversion price then in effect for at least 20 trading days (whether or not consecutive) during the period of 30 consecutive trading days ending on, and including, the trading day immediately preceding the date the notice of redemption is sent.</w:t>
      </w:r>
    </w:p>
    <w:p>
      <w:pPr>
        <w:spacing w:after="0" w:line="14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093" w:right="359" w:bottom="1440" w:gutter="0" w:footer="0" w:header="0"/>
        </w:sectPr>
      </w:pPr>
    </w:p>
    <w:bookmarkStart w:id="43" w:name="page44"/>
    <w:bookmarkEnd w:id="43"/>
    <w:p>
      <w:pPr>
        <w:ind w:right="100"/>
        <w:spacing w:after="0" w:line="266" w:lineRule="auto"/>
        <w:rPr>
          <w:sz w:val="20"/>
          <w:szCs w:val="20"/>
          <w:color w:val="auto"/>
        </w:rPr>
      </w:pPr>
      <w:r>
        <w:rPr>
          <w:rFonts w:ascii="Times New Roman" w:cs="Times New Roman" w:eastAsia="Times New Roman" w:hAnsi="Times New Roman"/>
          <w:sz w:val="18"/>
          <w:szCs w:val="18"/>
          <w:color w:val="auto"/>
        </w:rPr>
        <w:t>As of September 30, 2026, the conversion rate for the Convertible Notes was 6.4820 shares of our common stock per one thousand dollars principal amount of the Convertible Notes, which is equivalent to a conversion price of approximately $154.27 per share. The conversion rate is subject to adjustment upon the occurrence of certain events.</w:t>
      </w:r>
    </w:p>
    <w:p>
      <w:pPr>
        <w:spacing w:after="0" w:line="6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Upon conversion, we will pay cash up to the aggregate principal amount of the Convertible Notes to be converted and pay or deliver, as the case may be, cash, shares of common stock or a combination of cash and shares of common stock, at our election, in respect of the remainder, if any, of our conversion obligation in excess of the aggregate principal amount of the Convertible Notes being converted. Prior to the close of business on the business day immediately preceding March 1, 2030, noteholders may convert all or any portion of their Convertible Notes under the following circumstances:</w:t>
      </w:r>
    </w:p>
    <w:p>
      <w:pPr>
        <w:spacing w:after="0" w:line="75" w:lineRule="exact"/>
        <w:rPr>
          <w:sz w:val="20"/>
          <w:szCs w:val="20"/>
          <w:color w:val="auto"/>
        </w:rPr>
      </w:pPr>
    </w:p>
    <w:p>
      <w:pPr>
        <w:ind w:left="1020" w:hanging="515"/>
        <w:spacing w:after="0" w:line="25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(and only during such calendar quarter) commencing after the calendar quarter ended September 30, 2024, if the last reported sale price of the common stock for at least 20 trading days (whether or not consecutive) during the period of 30 consecutive trading days ending on, and including, the last trading day of the immediately preceding calendar quarter is greater than or equal to 130% of the applicable conversion price of the Convertible Notes on each applicable trading day (the “Sale Price Condition”) (approximately $200.55 per share based on the current conversion price of approximately $154.27 per share, which is subject to further adjustment upon the occurrence of certain events);</w:t>
      </w:r>
    </w:p>
    <w:p>
      <w:pPr>
        <w:spacing w:after="0" w:line="79" w:lineRule="exact"/>
        <w:rPr>
          <w:rFonts w:ascii="Times New Roman" w:cs="Times New Roman" w:eastAsia="Times New Roman" w:hAnsi="Times New Roman"/>
          <w:sz w:val="18"/>
          <w:szCs w:val="18"/>
          <w:color w:val="auto"/>
        </w:rPr>
      </w:pPr>
    </w:p>
    <w:p>
      <w:pPr>
        <w:jc w:val="both"/>
        <w:ind w:left="1020" w:right="120" w:hanging="515"/>
        <w:spacing w:after="0" w:line="289" w:lineRule="auto"/>
        <w:tabs>
          <w:tab w:leader="none" w:pos="10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five business day period after any five consecutive trading day period (the “measurement period”) in which the trading price per $1,000 principal amount of Convertible Notes for each trading day of the measurement period was less than 98% of the product of the last reported sale price of our common stock and the applicable conversion rate on each such trading day;</w:t>
      </w:r>
    </w:p>
    <w:p>
      <w:pPr>
        <w:spacing w:after="0" w:line="49" w:lineRule="exact"/>
        <w:rPr>
          <w:rFonts w:ascii="Times New Roman" w:cs="Times New Roman" w:eastAsia="Times New Roman" w:hAnsi="Times New Roman"/>
          <w:sz w:val="17"/>
          <w:szCs w:val="17"/>
          <w:color w:val="auto"/>
        </w:rPr>
      </w:pPr>
    </w:p>
    <w:p>
      <w:pPr>
        <w:ind w:left="1020" w:right="320" w:hanging="515"/>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call any or all of the Convertible Notes for redemption, at any time prior to the close of business on the second scheduled trading day immediately preceding the redemption date; or</w:t>
      </w:r>
    </w:p>
    <w:p>
      <w:pPr>
        <w:spacing w:after="0" w:line="53" w:lineRule="exact"/>
        <w:rPr>
          <w:rFonts w:ascii="Times New Roman" w:cs="Times New Roman" w:eastAsia="Times New Roman" w:hAnsi="Times New Roman"/>
          <w:sz w:val="18"/>
          <w:szCs w:val="18"/>
          <w:color w:val="auto"/>
        </w:rPr>
      </w:pPr>
    </w:p>
    <w:p>
      <w:pPr>
        <w:ind w:left="1020" w:hanging="515"/>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specified corporate events as specified in the Convertible Notes Indenture.</w:t>
      </w:r>
    </w:p>
    <w:p>
      <w:pPr>
        <w:spacing w:after="0" w:line="11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or after March 1, 2030, until the close of business on the second scheduled trading day immediately preceding the maturity date, noteholders may convert all or any portion of their Convertible Notes at any time.</w:t>
      </w:r>
    </w:p>
    <w:p>
      <w:pPr>
        <w:spacing w:after="0" w:line="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If we undergo a fundamental change (as defined in the Convertible Notes Indenture) prior to the maturity date of the Convertible Notes, holders may require us to repurchase for cash all or any portion of their Convertible Notes at a fundamental change repurchase price equal to 100% of the principal amount of the Convertible Notes to be repurchased, plus any accrued and unpaid interest to, but excluding, the fundamental change repurchase date.</w:t>
      </w:r>
    </w:p>
    <w:p>
      <w:pPr>
        <w:spacing w:after="0" w:line="7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Convertible Notes Indenture contains customary terms and covenants, including that upon certain events of default that are occurring and continuing, either the Convertible Notes Trustee or the holders of at least 25% in aggregate principal amount of the outstanding Convertible Notes may declare 100% of the principal of, and accrued and unpaid interest, if any, on, all the Convertible Notes to be due and payable. The Convertible Notes are not subject to financial maintenance covenants.</w:t>
      </w:r>
    </w:p>
    <w:p>
      <w:pPr>
        <w:spacing w:after="0" w:line="7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Sale Price Condition for the Convertible Notes was met during the calendar quarter ended September 30, 2026, and as a result, the Convertible Notes are convertible, in whole or in part, at the option of the holders thereof at any time during the calendar quarter ending December 31, 2026 and have been classified as short-term debt, net of issuance costs, on the condensed consolidated balance sheet at September 30, 2026. The Convertible Notes were issued at par and costs associated with the issuance of the Convertible Notes are amortized to interest expense over the contractual term of the Convertible Notes. As of September 30, 2026, $1.4 billion in aggregate principal amount of the Convertible Notes remained outstanding. As of September 30, 2026, the effective interest rate of the Convertible Notes was 1.56%.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Capped Call Transactions</w:t>
      </w:r>
    </w:p>
    <w:p>
      <w:pPr>
        <w:spacing w:after="0" w:line="22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On May 13, 2024, in connection with the pricing of the Convertible Notes, and on May 14, 2024, in connection with the exercise in full by the initial purchasers of their option to purchase additional Convertible Notes, we entered into privately negotiated capped call transactions (“Convertible Debt Capped Calls”) with certain of the initial purchasers of the Convertible Notes or their respective affiliates and other financial institutions. The Convertible Debt Capped Calls are expected generally to reduce the potential dilution to our common stock upon conversion of any Convertible Notes and/or offset any cash payments that we are required to make in excess of the principal amount of any converted Convertible Notes, as the case may be, with such reduction and/or offset subject to a cap initially equal to $237.42 per share, which represents a premium of 100% over the last reported sale price of $118.71 per share of our common stock on The Nasdaq Global Select Market on May 13, 2024, and which is subject to adjustments under the terms of the Convertible Debt Capped Calls.</w:t>
      </w:r>
    </w:p>
    <w:p>
      <w:pPr>
        <w:spacing w:after="0" w:line="15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093"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auto"/>
        </w:rPr>
        <w:t>2034 Notes</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February 4, 2026, we completed a private offering (the “2034 Notes Offering”) of €1.0 billion aggregate principal amount of senior notes due 2034 (the “2034 Notes”). The 2034 Notes were sold in a private placement to persons reasonably believed to be qualified institutional buyers in reliance on Rule 144A under the Securities Act of 1933, as amended (the “Securities Act”), and to non-U.S. persons outside the United States in reliance on Regulation S under the Securities Act. We used the net proceeds from the 2034 Notes Offering, together with cash on hand, to prepay approximately $1.3 billion of the USD Tranche B.</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2034 Notes Indenture and the 2034 Notes</w:t>
      </w:r>
    </w:p>
    <w:p>
      <w:pPr>
        <w:spacing w:after="0" w:line="11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February 4, 2026, we and the Guarantors (as defined below) entered into an indenture (the “2034 Notes Indenture”) with respect to the 2034 Notes with U.S. Bank Trust Company, National Association, as trustee (the “2034 Notes Trustee”).</w:t>
      </w:r>
    </w:p>
    <w:p>
      <w:pPr>
        <w:spacing w:after="0" w:line="5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Under the 2034 Notes Indenture, the 2034 Notes bear interest at a rate of 4.250% per annum, with interest payable semiannually in arrears on February 15 and August 15 of each year, beginning on August 15, 2026. The 2034 Notes will mature on February 15, 2034, unless earlier redeemed or repurchased in accordance with their terms.</w:t>
      </w:r>
    </w:p>
    <w:p>
      <w:pPr>
        <w:spacing w:after="0" w:line="6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2034 Notes are unconditionally guaranteed, on a senior unsecured basis, jointly and severally, by our existing and future subsidiaries that guarantee the Credit Agreement or are required to become guarantors under certain circumstances and subject to certain exceptions (the “Guarantors”).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2034 Notes and the guarantees are general senior unsecured obligations of us and the Guarantors. The 2034 Notes and guarantees will be:</w:t>
      </w:r>
    </w:p>
    <w:p>
      <w:pPr>
        <w:spacing w:after="0" w:line="115" w:lineRule="exact"/>
        <w:rPr>
          <w:sz w:val="20"/>
          <w:szCs w:val="20"/>
          <w:color w:val="auto"/>
        </w:rPr>
      </w:pPr>
    </w:p>
    <w:p>
      <w:pPr>
        <w:ind w:left="1020" w:right="80" w:hanging="515"/>
        <w:spacing w:after="0" w:line="284"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pari passu </w:t>
      </w:r>
      <w:r>
        <w:rPr>
          <w:rFonts w:ascii="Times New Roman" w:cs="Times New Roman" w:eastAsia="Times New Roman" w:hAnsi="Times New Roman"/>
          <w:sz w:val="18"/>
          <w:szCs w:val="18"/>
          <w:color w:val="auto"/>
        </w:rPr>
        <w:t>in right of payment with any of our and the Guarantors’ existing and future unsubordinated indebtedness (including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Agreement);</w:t>
      </w:r>
    </w:p>
    <w:p>
      <w:pPr>
        <w:spacing w:after="0" w:line="52" w:lineRule="exact"/>
        <w:rPr>
          <w:rFonts w:ascii="Times New Roman" w:cs="Times New Roman" w:eastAsia="Times New Roman" w:hAnsi="Times New Roman"/>
          <w:sz w:val="18"/>
          <w:szCs w:val="18"/>
          <w:color w:val="auto"/>
        </w:rPr>
      </w:pPr>
    </w:p>
    <w:p>
      <w:pPr>
        <w:ind w:left="1020" w:right="180" w:hanging="515"/>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subordinated to our and the Guarantors’ existing and future secured indebtedness (including the Credit Agreement) to the extent of the value of the assets securing such indebtedness;</w:t>
      </w:r>
    </w:p>
    <w:p>
      <w:pPr>
        <w:spacing w:after="0" w:line="53" w:lineRule="exact"/>
        <w:rPr>
          <w:rFonts w:ascii="Times New Roman" w:cs="Times New Roman" w:eastAsia="Times New Roman" w:hAnsi="Times New Roman"/>
          <w:sz w:val="18"/>
          <w:szCs w:val="18"/>
          <w:color w:val="auto"/>
        </w:rPr>
      </w:pPr>
    </w:p>
    <w:p>
      <w:pPr>
        <w:ind w:left="1020" w:hanging="515"/>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in right of payment to any of our and the Guarantors’ future subordinated indebtedness;</w:t>
      </w:r>
    </w:p>
    <w:p>
      <w:pPr>
        <w:spacing w:after="0" w:line="117" w:lineRule="exact"/>
        <w:rPr>
          <w:rFonts w:ascii="Times New Roman" w:cs="Times New Roman" w:eastAsia="Times New Roman" w:hAnsi="Times New Roman"/>
          <w:sz w:val="18"/>
          <w:szCs w:val="18"/>
          <w:color w:val="auto"/>
        </w:rPr>
      </w:pPr>
    </w:p>
    <w:p>
      <w:pPr>
        <w:ind w:left="1020" w:right="40" w:hanging="515"/>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structurally senior to any existing and future indebtedness of us that is not guaranteed by the Guarantors (including the Convertible Notes); and</w:t>
      </w:r>
    </w:p>
    <w:p>
      <w:pPr>
        <w:spacing w:after="0" w:line="53" w:lineRule="exact"/>
        <w:rPr>
          <w:rFonts w:ascii="Times New Roman" w:cs="Times New Roman" w:eastAsia="Times New Roman" w:hAnsi="Times New Roman"/>
          <w:sz w:val="18"/>
          <w:szCs w:val="18"/>
          <w:color w:val="auto"/>
        </w:rPr>
      </w:pPr>
    </w:p>
    <w:p>
      <w:pPr>
        <w:ind w:left="1020" w:right="220" w:hanging="515"/>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structurally subordinated to any existing and future indebtedness and other liabilities of our and the Guarantors’ subsidiaries that are not and do not become Guarantors.</w:t>
      </w:r>
    </w:p>
    <w:p>
      <w:pPr>
        <w:spacing w:after="0" w:line="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At any time prior to February 15, 2029, we may redeem the 2034 Notes in whole or in part at a redemption price equal to 100% of their principal amount, plus a make-whole premium, plus accrued and unpaid interest, if any, and additional amounts, if any, to, but excluding, the redemption date.</w:t>
      </w:r>
    </w:p>
    <w:p>
      <w:pPr>
        <w:spacing w:after="0" w:line="68"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At any time and from time to time on or after February 15, 2029, we may redeem for cash all or any portion of the 2034 Notes at a redemption price equal to the percentage of principal amount set forth below, plus accrued and unpaid interest, if any, and additional amounts, if any, to, but excluding, the applicable redemption date, if redeemed during the twelve-month period beginning on February 15 of the year indicated below:</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w:t>
            </w:r>
          </w:p>
        </w:tc>
        <w:tc>
          <w:tcPr>
            <w:tcW w:w="6920" w:type="dxa"/>
            <w:vAlign w:val="bottom"/>
          </w:tcPr>
          <w:p>
            <w:pPr>
              <w:spacing w:after="0"/>
              <w:rPr>
                <w:sz w:val="20"/>
                <w:szCs w:val="20"/>
                <w:color w:val="auto"/>
              </w:rPr>
            </w:pPr>
          </w:p>
        </w:tc>
        <w:tc>
          <w:tcPr>
            <w:tcW w:w="1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Percentage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8740" w:type="dxa"/>
            <w:vAlign w:val="bottom"/>
            <w:gridSpan w:val="2"/>
            <w:shd w:val="clear" w:color="auto" w:fill="CFF0FC"/>
          </w:tcPr>
          <w:p>
            <w:pPr>
              <w:ind w:left="6920"/>
              <w:spacing w:after="0"/>
              <w:rPr>
                <w:sz w:val="20"/>
                <w:szCs w:val="20"/>
                <w:color w:val="auto"/>
              </w:rPr>
            </w:pPr>
            <w:r>
              <w:rPr>
                <w:rFonts w:ascii="Times New Roman" w:cs="Times New Roman" w:eastAsia="Times New Roman" w:hAnsi="Times New Roman"/>
                <w:sz w:val="18"/>
                <w:szCs w:val="18"/>
                <w:color w:val="auto"/>
              </w:rPr>
              <w:t>102.125%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8740" w:type="dxa"/>
            <w:vAlign w:val="bottom"/>
            <w:gridSpan w:val="2"/>
          </w:tcPr>
          <w:p>
            <w:pPr>
              <w:ind w:left="6920"/>
              <w:spacing w:after="0"/>
              <w:rPr>
                <w:sz w:val="20"/>
                <w:szCs w:val="20"/>
                <w:color w:val="auto"/>
              </w:rPr>
            </w:pPr>
            <w:r>
              <w:rPr>
                <w:rFonts w:ascii="Times New Roman" w:cs="Times New Roman" w:eastAsia="Times New Roman" w:hAnsi="Times New Roman"/>
                <w:sz w:val="18"/>
                <w:szCs w:val="18"/>
                <w:color w:val="auto"/>
              </w:rPr>
              <w:t>101.0625%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2031 and thereafter</w:t>
            </w:r>
          </w:p>
        </w:tc>
        <w:tc>
          <w:tcPr>
            <w:tcW w:w="8740" w:type="dxa"/>
            <w:vAlign w:val="bottom"/>
            <w:gridSpan w:val="2"/>
            <w:shd w:val="clear" w:color="auto" w:fill="CFF0FC"/>
          </w:tcPr>
          <w:p>
            <w:pPr>
              <w:ind w:left="692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At any time and from time to time prior to February 15, 2029, we may redeem up to 40% of the original aggregate principal amount of the 2034 Notes using the net cash proceeds of certain equity offerings at a redemption price equal to 104.250%.</w:t>
      </w:r>
    </w:p>
    <w:p>
      <w:pPr>
        <w:spacing w:after="0" w:line="54" w:lineRule="exact"/>
        <w:rPr>
          <w:sz w:val="20"/>
          <w:szCs w:val="20"/>
          <w:color w:val="auto"/>
        </w:rPr>
      </w:pPr>
    </w:p>
    <w:p>
      <w:pPr>
        <w:ind w:right="460"/>
        <w:spacing w:after="0" w:line="312" w:lineRule="auto"/>
        <w:rPr>
          <w:sz w:val="20"/>
          <w:szCs w:val="20"/>
          <w:color w:val="auto"/>
        </w:rPr>
      </w:pPr>
      <w:r>
        <w:rPr>
          <w:rFonts w:ascii="Times New Roman" w:cs="Times New Roman" w:eastAsia="Times New Roman" w:hAnsi="Times New Roman"/>
          <w:sz w:val="17"/>
          <w:szCs w:val="17"/>
          <w:color w:val="auto"/>
        </w:rPr>
        <w:t>In the event of certain developments affecting taxation, we may elect to redeem all, but not less than all, of the 2034 Notes at 100% of their principal amount, plus accrued and unpaid interest, if any, and additional amounts, if any, to, but excluding, the date fixed for redemption.</w:t>
      </w:r>
    </w:p>
    <w:p>
      <w:pPr>
        <w:spacing w:after="0" w:line="3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Upon the occurrence of a change of control triggering event (as defined in the 2034 Notes Indenture), each holder of the 2034 Notes may require us to repurchase all or a portion of their 2034 Notes at a price equal to 101% of their principal amount plus accrued and unpaid interest, if any, and additional amounts, if any, to, but excluding, the repurchase date.</w:t>
      </w:r>
    </w:p>
    <w:p>
      <w:pPr>
        <w:spacing w:after="0" w:line="68"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2034 Notes Indenture contains customary terms and covenants that limit the ability of us and our Restricted Subsidiaries (as defined in the 2034 Notes Indenture) to, among other things, (i) incur liens, (ii) provide guarantees and (iii) consolidate, merge or sell or otherwise dispose of substantially all their assets.</w:t>
      </w:r>
    </w:p>
    <w:p>
      <w:pPr>
        <w:spacing w:after="0" w:line="13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201" w:right="339" w:bottom="1440" w:gutter="0" w:footer="0" w:header="0"/>
        </w:sectPr>
      </w:pPr>
    </w:p>
    <w:bookmarkStart w:id="45" w:name="page46"/>
    <w:bookmarkEnd w:id="45"/>
    <w:p>
      <w:pPr>
        <w:ind w:right="80"/>
        <w:spacing w:after="0" w:line="256" w:lineRule="auto"/>
        <w:rPr>
          <w:sz w:val="20"/>
          <w:szCs w:val="20"/>
          <w:color w:val="auto"/>
        </w:rPr>
      </w:pPr>
      <w:r>
        <w:rPr>
          <w:rFonts w:ascii="Times New Roman" w:cs="Times New Roman" w:eastAsia="Times New Roman" w:hAnsi="Times New Roman"/>
          <w:sz w:val="18"/>
          <w:szCs w:val="18"/>
          <w:color w:val="auto"/>
        </w:rPr>
        <w:t>The 2034 Notes Indenture also provides for customary events of default. Upon certain events of default that are occurring and continuing, either the 2034 Notes Trustee or the holders of at least 30% in aggregate principal amount of the outstanding 2034 Notes may declare the principal of, and accrued and unpaid interest, if any, and additional amounts, if any, on, all the 2034 Notes to be due and payable. In the event of certain insolvency and bankruptcy related events of default specified in the 2034 Notes Indenture, the principal of, and accrued and unpaid interest, if any, and additional amounts, if any, on, all the 2034 Notes shall automatically become due and payable. The 2034 Notes are not subject to financial maintenance covenants.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the effective interest rate of the 2034 Notes was 4.46%.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Lines of Credit and Borrowing Arrangements</w:t>
      </w:r>
    </w:p>
    <w:p>
      <w:pPr>
        <w:spacing w:after="0" w:line="2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Certain of our Japanese subsidiaries have lines of credit and a financing facility with various financial institutions, many of which generally expire and are renewed at three-month intervals with the remaining having no expiration date. The lines of credit and financing facility provided for aggregate borrowings of up to an equivalent of $13 million as of each of September 30, 2026 and December 31, 2025. There were no borrowings outstanding under these arrangements at September 30, 2026 and December 31,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Derivatives</w:t>
      </w:r>
    </w:p>
    <w:p>
      <w:pPr>
        <w:spacing w:after="0" w:line="22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enter into derivative instruments for risk management purposes only, including derivatives designated as hedging instruments and those utilized as economic hedges. We operate internationally, and in the normal course of business, are exposed to fluctuations in interest rates and foreign exchange rates. These fluctuations can increase the costs of financing, investing and operating the business. We have used derivative instruments, such as foreign exchange forward contracts, options, and net investment hedges, to manage certain foreign currency exposure, and interest rate swaps and caps to manage certain interest rate exposure. We do not enter into derivative instruments for trading or speculative purposes.</w:t>
      </w:r>
    </w:p>
    <w:p>
      <w:pPr>
        <w:spacing w:after="0" w:line="7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By nature, all financial instruments involve market and credit risks. We enter into derivative instruments with major investment grade financial institutions and no collateral is required. We have policies to monitor the credit risk of these counterparties. While there can be no assurance, we do not anticipate any material non-performance by any of these counterparties.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Rate Swap</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have interest rate swap agreements described further in Note 5 of the condensed consolidated financial statements. These interest rate swap agreements exchange the variable Term SOFR rate to a fixed rate in order to manage the exposure to interest rate fluctuations associated with the variable Term SOFR rate paid on the outstanding balance of our USD Tranche B.</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outside the ordinary course of business to our contractual obligations as disclosed in our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For information on recently issued accounting pronouncements, see Note 2 to the Notes to Unaudited Condensed Consolidated Financial Statements included in Part I, Item 1, “Notes to Unaudited Condensed Consolidated Financial Statements” of this Quarterly Report on Form 10-Q.</w:t>
      </w:r>
    </w:p>
    <w:p>
      <w:pPr>
        <w:spacing w:after="0" w:line="13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093"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p>
      <w:pPr>
        <w:spacing w:after="0" w:line="225" w:lineRule="exact"/>
        <w:rPr>
          <w:sz w:val="20"/>
          <w:szCs w:val="20"/>
          <w:color w:val="auto"/>
        </w:rPr>
      </w:pPr>
    </w:p>
    <w:p>
      <w:pPr>
        <w:ind w:left="760"/>
        <w:spacing w:after="0" w:line="266" w:lineRule="auto"/>
        <w:rPr>
          <w:sz w:val="20"/>
          <w:szCs w:val="20"/>
          <w:color w:val="auto"/>
        </w:rPr>
      </w:pPr>
      <w:r>
        <w:rPr>
          <w:rFonts w:ascii="Times New Roman" w:cs="Times New Roman" w:eastAsia="Times New Roman" w:hAnsi="Times New Roman"/>
          <w:sz w:val="18"/>
          <w:szCs w:val="18"/>
          <w:color w:val="auto"/>
        </w:rPr>
        <w:t>Information concerning market risk is contained in the section entitled “Quantitative and Qualitative Disclosures About Market Risk” contained in our Annual Report on Form 10-K for the year ended December 31, 2025 filed with the U.S. Securities and Exchange Commission on February 24, 2026. As of September 30, 2026, there were no material changes in our exposure to market risk from December 31, 2025.</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ITEM 4. CONTROLS AND PROCEDURES.</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left="760" w:right="20"/>
        <w:spacing w:after="0" w:line="252"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of September 30, 2026. The term “disclosure controls and procedures,” as defined in Rules 13a-15(e) and 15d-15(e) under the Securities Exchange Act of 1934, as amended (the “Exchange Act”), means controls and other procedures of an issuer that are designed to ensure that information required to be disclosed by the issuer in the reports that it files or submits under the Exchange Act is recorded, processed, summarized and reported, within the time periods specified in the U.S. Securities and Exchange Commission’s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that evaluation, our Chief Executive Officer and Chief Financial Officer concluded that, as of September 30, 2026, our disclosure controls and procedures were effective to provide reasonable assurance that information required to be disclosed by us in reports that we file or submit under the Exchange Act is recorded, processed, summarized and reported within the time periods specified in U.S. Securities and Exchange Commission’s rules and forms and is accumulated and communicated to our management, including our Chief Executive Officer and Chief Financial Officer, as appropriate to allow timely decisions regarding required disclosure.</w:t>
      </w:r>
    </w:p>
    <w:p>
      <w:pPr>
        <w:spacing w:after="0" w:line="1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left="760"/>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13a-15(f) and 15d-15(f) under the Exchange Act) during the quarter ended September 30, 2026 that has materially affected, or is reasonably likely to materially affect, our internal control over financial reporting.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PART II. OTHER INFORMATION</w:t>
      </w:r>
    </w:p>
    <w:p>
      <w:pPr>
        <w:spacing w:after="0" w:line="22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ITEM 1A.</w:t>
      </w:r>
      <w:r>
        <w:rPr>
          <w:sz w:val="20"/>
          <w:szCs w:val="20"/>
          <w:color w:val="auto"/>
        </w:rPr>
        <w:tab/>
      </w:r>
      <w:r>
        <w:rPr>
          <w:rFonts w:ascii="Times New Roman" w:cs="Times New Roman" w:eastAsia="Times New Roman" w:hAnsi="Times New Roman"/>
          <w:sz w:val="18"/>
          <w:szCs w:val="18"/>
          <w:color w:val="auto"/>
        </w:rPr>
        <w:t>RISK FACTORS.</w:t>
      </w:r>
    </w:p>
    <w:p>
      <w:pPr>
        <w:spacing w:after="0" w:line="225" w:lineRule="exact"/>
        <w:rPr>
          <w:sz w:val="20"/>
          <w:szCs w:val="20"/>
          <w:color w:val="auto"/>
        </w:rPr>
      </w:pPr>
    </w:p>
    <w:p>
      <w:pPr>
        <w:ind w:left="760" w:right="160"/>
        <w:spacing w:after="0" w:line="282" w:lineRule="auto"/>
        <w:rPr>
          <w:sz w:val="20"/>
          <w:szCs w:val="20"/>
          <w:color w:val="auto"/>
        </w:rPr>
      </w:pPr>
      <w:r>
        <w:rPr>
          <w:rFonts w:ascii="Times New Roman" w:cs="Times New Roman" w:eastAsia="Times New Roman" w:hAnsi="Times New Roman"/>
          <w:sz w:val="18"/>
          <w:szCs w:val="18"/>
          <w:color w:val="212529"/>
        </w:rPr>
        <w:t xml:space="preserve">Information regarding risk factors affecting our business is discussed in the section entitled “Risk Factors” in our Annual Report </w:t>
      </w:r>
      <w:r>
        <w:rPr>
          <w:rFonts w:ascii="Times New Roman" w:cs="Times New Roman" w:eastAsia="Times New Roman" w:hAnsi="Times New Roman"/>
          <w:sz w:val="18"/>
          <w:szCs w:val="18"/>
          <w:color w:val="000000"/>
        </w:rPr>
        <w:t>on Form 10-K</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for the year ended December 31, 2025 filed with the U.S. Securities and Exchange Commission on February 24, 2026.</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ITEM 5. OTHER INFORMATION.</w:t>
      </w:r>
    </w:p>
    <w:p>
      <w:pPr>
        <w:spacing w:after="0" w:line="225" w:lineRule="exact"/>
        <w:rPr>
          <w:sz w:val="20"/>
          <w:szCs w:val="20"/>
          <w:color w:val="auto"/>
        </w:rPr>
      </w:pPr>
    </w:p>
    <w:p>
      <w:pPr>
        <w:ind w:left="760" w:right="120"/>
        <w:spacing w:after="0" w:line="261" w:lineRule="auto"/>
        <w:rPr>
          <w:sz w:val="20"/>
          <w:szCs w:val="20"/>
          <w:color w:val="auto"/>
        </w:rPr>
      </w:pPr>
      <w:r>
        <w:rPr>
          <w:rFonts w:ascii="Times New Roman" w:cs="Times New Roman" w:eastAsia="Times New Roman" w:hAnsi="Times New Roman"/>
          <w:sz w:val="18"/>
          <w:szCs w:val="18"/>
          <w:color w:val="212529"/>
        </w:rPr>
        <w:t>The following table describes, for the quarterly period covered by this report, each trading arrangement for the sale or purchase of Company securities adopted or terminated by our directors and officers (as defined in Rule 16a-1(f) under the Exchange Act) that is either (1) a contract, instruction or written plan intended to satisfy the affirmative defense conditions of Rule 10b5-1(c) (a “Rule 10b5-1 trading arrangement”) or (2) a “non-Rule 10b5-1 trading arrangement” (as defined in Item 408(c) of Regulation S-K):</w:t>
      </w:r>
    </w:p>
    <w:p>
      <w:pPr>
        <w:spacing w:after="0" w:line="175" w:lineRule="exact"/>
        <w:rPr>
          <w:sz w:val="20"/>
          <w:szCs w:val="20"/>
          <w:color w:val="auto"/>
        </w:rPr>
      </w:pPr>
    </w:p>
    <w:tbl>
      <w:tblPr>
        <w:tblLayout w:type="fixed"/>
        <w:tblInd w:w="810" w:type="dxa"/>
        <w:tblCellMar>
          <w:top w:w="0" w:type="dxa"/>
          <w:left w:w="0" w:type="dxa"/>
          <w:bottom w:w="0" w:type="dxa"/>
          <w:right w:w="0" w:type="dxa"/>
        </w:tblCellMar>
      </w:tblPr>
      <w:tr>
        <w:trPr>
          <w:trHeight w:val="143"/>
        </w:trPr>
        <w:tc>
          <w:tcPr>
            <w:tcW w:w="148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Name (Title)</w:t>
            </w:r>
          </w:p>
        </w:tc>
        <w:tc>
          <w:tcPr>
            <w:tcW w:w="1400" w:type="dxa"/>
            <w:vAlign w:val="bottom"/>
            <w:tcBorders>
              <w:top w:val="single" w:sz="8" w:color="auto"/>
              <w:right w:val="single" w:sz="8" w:color="auto"/>
            </w:tcBorders>
          </w:tcPr>
          <w:p>
            <w:pPr>
              <w:jc w:val="center"/>
              <w:ind w:right="30"/>
              <w:spacing w:after="0" w:line="143" w:lineRule="exact"/>
              <w:rPr>
                <w:sz w:val="20"/>
                <w:szCs w:val="20"/>
                <w:color w:val="auto"/>
              </w:rPr>
            </w:pPr>
            <w:r>
              <w:rPr>
                <w:rFonts w:ascii="Times New Roman" w:cs="Times New Roman" w:eastAsia="Times New Roman" w:hAnsi="Times New Roman"/>
                <w:sz w:val="14"/>
                <w:szCs w:val="14"/>
                <w:color w:val="auto"/>
              </w:rPr>
              <w:t>Action Taken (Date of</w:t>
            </w:r>
          </w:p>
        </w:tc>
        <w:tc>
          <w:tcPr>
            <w:tcW w:w="1440" w:type="dxa"/>
            <w:vAlign w:val="bottom"/>
            <w:tcBorders>
              <w:top w:val="single" w:sz="8" w:color="auto"/>
              <w:right w:val="single" w:sz="8" w:color="auto"/>
            </w:tcBorders>
          </w:tcPr>
          <w:p>
            <w:pPr>
              <w:jc w:val="center"/>
              <w:spacing w:after="0" w:line="143" w:lineRule="exact"/>
              <w:rPr>
                <w:sz w:val="20"/>
                <w:szCs w:val="20"/>
                <w:color w:val="auto"/>
              </w:rPr>
            </w:pPr>
            <w:r>
              <w:rPr>
                <w:rFonts w:ascii="Times New Roman" w:cs="Times New Roman" w:eastAsia="Times New Roman" w:hAnsi="Times New Roman"/>
                <w:sz w:val="14"/>
                <w:szCs w:val="14"/>
                <w:color w:val="auto"/>
              </w:rPr>
              <w:t>Type of Trading</w:t>
            </w:r>
          </w:p>
        </w:tc>
        <w:tc>
          <w:tcPr>
            <w:tcW w:w="1440" w:type="dxa"/>
            <w:vAlign w:val="bottom"/>
            <w:tcBorders>
              <w:top w:val="single" w:sz="8" w:color="auto"/>
              <w:right w:val="single" w:sz="8" w:color="auto"/>
            </w:tcBorders>
          </w:tcPr>
          <w:p>
            <w:pPr>
              <w:ind w:left="160"/>
              <w:spacing w:after="0" w:line="143" w:lineRule="exact"/>
              <w:rPr>
                <w:sz w:val="20"/>
                <w:szCs w:val="20"/>
                <w:color w:val="auto"/>
              </w:rPr>
            </w:pPr>
            <w:r>
              <w:rPr>
                <w:rFonts w:ascii="Times New Roman" w:cs="Times New Roman" w:eastAsia="Times New Roman" w:hAnsi="Times New Roman"/>
                <w:sz w:val="14"/>
                <w:szCs w:val="14"/>
                <w:color w:val="auto"/>
              </w:rPr>
              <w:t>Nature of Trading</w:t>
            </w:r>
          </w:p>
        </w:tc>
        <w:tc>
          <w:tcPr>
            <w:tcW w:w="3240" w:type="dxa"/>
            <w:vAlign w:val="bottom"/>
            <w:tcBorders>
              <w:top w:val="single" w:sz="8" w:color="auto"/>
              <w:right w:val="single" w:sz="8" w:color="auto"/>
            </w:tcBorders>
            <w:vMerge w:val="restart"/>
          </w:tcPr>
          <w:p>
            <w:pPr>
              <w:ind w:left="620"/>
              <w:spacing w:after="0"/>
              <w:rPr>
                <w:sz w:val="20"/>
                <w:szCs w:val="20"/>
                <w:color w:val="auto"/>
              </w:rPr>
            </w:pPr>
            <w:r>
              <w:rPr>
                <w:rFonts w:ascii="Times New Roman" w:cs="Times New Roman" w:eastAsia="Times New Roman" w:hAnsi="Times New Roman"/>
                <w:sz w:val="14"/>
                <w:szCs w:val="14"/>
                <w:color w:val="auto"/>
              </w:rPr>
              <w:t>Duration of Trading Arrangement</w:t>
            </w:r>
          </w:p>
        </w:tc>
        <w:tc>
          <w:tcPr>
            <w:tcW w:w="1440" w:type="dxa"/>
            <w:vAlign w:val="bottom"/>
            <w:tcBorders>
              <w:top w:val="single" w:sz="8" w:color="auto"/>
              <w:right w:val="single" w:sz="8" w:color="auto"/>
            </w:tcBorders>
          </w:tcPr>
          <w:p>
            <w:pPr>
              <w:ind w:left="60"/>
              <w:spacing w:after="0" w:line="143" w:lineRule="exact"/>
              <w:rPr>
                <w:sz w:val="20"/>
                <w:szCs w:val="20"/>
                <w:color w:val="auto"/>
              </w:rPr>
            </w:pPr>
            <w:r>
              <w:rPr>
                <w:rFonts w:ascii="Times New Roman" w:cs="Times New Roman" w:eastAsia="Times New Roman" w:hAnsi="Times New Roman"/>
                <w:sz w:val="14"/>
                <w:szCs w:val="14"/>
                <w:color w:val="auto"/>
              </w:rPr>
              <w:t>Aggregate Number of</w:t>
            </w:r>
          </w:p>
        </w:tc>
        <w:tc>
          <w:tcPr>
            <w:tcW w:w="0" w:type="dxa"/>
            <w:vAlign w:val="bottom"/>
          </w:tcPr>
          <w:p>
            <w:pPr>
              <w:spacing w:after="0"/>
              <w:rPr>
                <w:sz w:val="1"/>
                <w:szCs w:val="1"/>
                <w:color w:val="auto"/>
              </w:rPr>
            </w:pPr>
          </w:p>
        </w:tc>
      </w:tr>
      <w:tr>
        <w:trPr>
          <w:trHeight w:val="107"/>
        </w:trPr>
        <w:tc>
          <w:tcPr>
            <w:tcW w:w="1480" w:type="dxa"/>
            <w:vAlign w:val="bottom"/>
            <w:tcBorders>
              <w:left w:val="single" w:sz="8" w:color="auto"/>
              <w:right w:val="single" w:sz="8" w:color="auto"/>
            </w:tcBorders>
            <w:vMerge w:val="continue"/>
          </w:tcPr>
          <w:p>
            <w:pPr>
              <w:spacing w:after="0"/>
              <w:rPr>
                <w:sz w:val="9"/>
                <w:szCs w:val="9"/>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Action)</w:t>
            </w: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Arrangement</w:t>
            </w: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Arrangement</w:t>
            </w:r>
          </w:p>
        </w:tc>
        <w:tc>
          <w:tcPr>
            <w:tcW w:w="3240" w:type="dxa"/>
            <w:vAlign w:val="bottom"/>
            <w:tcBorders>
              <w:right w:val="single" w:sz="8" w:color="auto"/>
            </w:tcBorders>
            <w:vMerge w:val="continue"/>
          </w:tcPr>
          <w:p>
            <w:pPr>
              <w:spacing w:after="0"/>
              <w:rPr>
                <w:sz w:val="9"/>
                <w:szCs w:val="9"/>
                <w:color w:val="auto"/>
              </w:rPr>
            </w:pP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Securities</w:t>
            </w:r>
          </w:p>
        </w:tc>
        <w:tc>
          <w:tcPr>
            <w:tcW w:w="0" w:type="dxa"/>
            <w:vAlign w:val="bottom"/>
          </w:tcPr>
          <w:p>
            <w:pPr>
              <w:spacing w:after="0"/>
              <w:rPr>
                <w:sz w:val="1"/>
                <w:szCs w:val="1"/>
                <w:color w:val="auto"/>
              </w:rPr>
            </w:pPr>
          </w:p>
        </w:tc>
      </w:tr>
      <w:tr>
        <w:trPr>
          <w:trHeight w:val="81"/>
        </w:trPr>
        <w:tc>
          <w:tcPr>
            <w:tcW w:w="1480" w:type="dxa"/>
            <w:vAlign w:val="bottom"/>
            <w:tcBorders>
              <w:left w:val="single" w:sz="8" w:color="auto"/>
              <w:bottom w:val="single" w:sz="8" w:color="auto"/>
              <w:right w:val="single" w:sz="8" w:color="auto"/>
            </w:tcBorders>
          </w:tcPr>
          <w:p>
            <w:pPr>
              <w:spacing w:after="0"/>
              <w:rPr>
                <w:sz w:val="7"/>
                <w:szCs w:val="7"/>
                <w:color w:val="auto"/>
              </w:rPr>
            </w:pPr>
          </w:p>
        </w:tc>
        <w:tc>
          <w:tcPr>
            <w:tcW w:w="1400" w:type="dxa"/>
            <w:vAlign w:val="bottom"/>
            <w:tcBorders>
              <w:bottom w:val="single" w:sz="8" w:color="auto"/>
              <w:right w:val="single" w:sz="8" w:color="auto"/>
            </w:tcBorders>
            <w:vMerge w:val="continue"/>
          </w:tcPr>
          <w:p>
            <w:pPr>
              <w:spacing w:after="0"/>
              <w:rPr>
                <w:sz w:val="7"/>
                <w:szCs w:val="7"/>
                <w:color w:val="auto"/>
              </w:rPr>
            </w:pPr>
          </w:p>
        </w:tc>
        <w:tc>
          <w:tcPr>
            <w:tcW w:w="1440" w:type="dxa"/>
            <w:vAlign w:val="bottom"/>
            <w:tcBorders>
              <w:bottom w:val="single" w:sz="8" w:color="auto"/>
              <w:right w:val="single" w:sz="8" w:color="auto"/>
            </w:tcBorders>
            <w:vMerge w:val="continue"/>
          </w:tcPr>
          <w:p>
            <w:pPr>
              <w:spacing w:after="0"/>
              <w:rPr>
                <w:sz w:val="7"/>
                <w:szCs w:val="7"/>
                <w:color w:val="auto"/>
              </w:rPr>
            </w:pPr>
          </w:p>
        </w:tc>
        <w:tc>
          <w:tcPr>
            <w:tcW w:w="1440" w:type="dxa"/>
            <w:vAlign w:val="bottom"/>
            <w:tcBorders>
              <w:bottom w:val="single" w:sz="8" w:color="auto"/>
              <w:right w:val="single" w:sz="8" w:color="auto"/>
            </w:tcBorders>
            <w:vMerge w:val="continue"/>
          </w:tcPr>
          <w:p>
            <w:pPr>
              <w:spacing w:after="0"/>
              <w:rPr>
                <w:sz w:val="7"/>
                <w:szCs w:val="7"/>
                <w:color w:val="auto"/>
              </w:rPr>
            </w:pPr>
          </w:p>
        </w:tc>
        <w:tc>
          <w:tcPr>
            <w:tcW w:w="3240" w:type="dxa"/>
            <w:vAlign w:val="bottom"/>
            <w:tcBorders>
              <w:bottom w:val="single" w:sz="8" w:color="auto"/>
              <w:right w:val="single" w:sz="8" w:color="auto"/>
            </w:tcBorders>
          </w:tcPr>
          <w:p>
            <w:pPr>
              <w:spacing w:after="0"/>
              <w:rPr>
                <w:sz w:val="7"/>
                <w:szCs w:val="7"/>
                <w:color w:val="auto"/>
              </w:rPr>
            </w:pPr>
          </w:p>
        </w:tc>
        <w:tc>
          <w:tcPr>
            <w:tcW w:w="144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1480" w:type="dxa"/>
            <w:vAlign w:val="bottom"/>
            <w:tcBorders>
              <w:top w:val="single" w:sz="8" w:color="auto"/>
              <w:left w:val="single" w:sz="8" w:color="CFF0FC"/>
              <w:right w:val="single" w:sz="8" w:color="auto"/>
            </w:tcBorders>
            <w:shd w:val="clear" w:color="auto" w:fill="CFF0FC"/>
          </w:tcPr>
          <w:p>
            <w:pPr>
              <w:jc w:val="center"/>
              <w:ind w:right="13"/>
              <w:spacing w:after="0" w:line="103" w:lineRule="exact"/>
              <w:rPr>
                <w:sz w:val="20"/>
                <w:szCs w:val="20"/>
                <w:color w:val="auto"/>
              </w:rPr>
            </w:pPr>
            <w:r>
              <w:rPr>
                <w:rFonts w:ascii="Times New Roman" w:cs="Times New Roman" w:eastAsia="Times New Roman" w:hAnsi="Times New Roman"/>
                <w:sz w:val="11"/>
                <w:szCs w:val="11"/>
                <w:color w:val="auto"/>
              </w:rPr>
              <w:t>Peter J. Cannone</w:t>
            </w:r>
          </w:p>
        </w:tc>
        <w:tc>
          <w:tcPr>
            <w:tcW w:w="1400" w:type="dxa"/>
            <w:vAlign w:val="bottom"/>
            <w:tcBorders>
              <w:top w:val="single" w:sz="8" w:color="CFF0FC"/>
              <w:right w:val="single" w:sz="8" w:color="auto"/>
            </w:tcBorders>
            <w:shd w:val="clear" w:color="auto" w:fill="CFF0FC"/>
          </w:tcPr>
          <w:p>
            <w:pPr>
              <w:jc w:val="center"/>
              <w:ind w:right="30"/>
              <w:spacing w:after="0" w:line="103" w:lineRule="exact"/>
              <w:rPr>
                <w:sz w:val="20"/>
                <w:szCs w:val="20"/>
                <w:color w:val="auto"/>
              </w:rPr>
            </w:pPr>
            <w:r>
              <w:rPr>
                <w:rFonts w:ascii="Times New Roman" w:cs="Times New Roman" w:eastAsia="Times New Roman" w:hAnsi="Times New Roman"/>
                <w:sz w:val="11"/>
                <w:szCs w:val="11"/>
                <w:color w:val="auto"/>
              </w:rPr>
              <w:t>Adoption (August 27,</w:t>
            </w:r>
          </w:p>
        </w:tc>
        <w:tc>
          <w:tcPr>
            <w:tcW w:w="1440" w:type="dxa"/>
            <w:vAlign w:val="bottom"/>
            <w:tcBorders>
              <w:top w:val="single" w:sz="8" w:color="CFF0FC"/>
              <w:right w:val="single" w:sz="8" w:color="auto"/>
            </w:tcBorders>
            <w:shd w:val="clear" w:color="auto" w:fill="CFF0FC"/>
          </w:tcPr>
          <w:p>
            <w:pPr>
              <w:jc w:val="center"/>
              <w:ind w:right="10"/>
              <w:spacing w:after="0" w:line="103" w:lineRule="exact"/>
              <w:rPr>
                <w:sz w:val="20"/>
                <w:szCs w:val="20"/>
                <w:color w:val="auto"/>
              </w:rPr>
            </w:pPr>
            <w:r>
              <w:rPr>
                <w:rFonts w:ascii="Times New Roman" w:cs="Times New Roman" w:eastAsia="Times New Roman" w:hAnsi="Times New Roman"/>
                <w:sz w:val="11"/>
                <w:szCs w:val="11"/>
                <w:color w:val="auto"/>
              </w:rPr>
              <w:t>Rule 10b5-1 trading</w:t>
            </w:r>
          </w:p>
        </w:tc>
        <w:tc>
          <w:tcPr>
            <w:tcW w:w="1440" w:type="dxa"/>
            <w:vAlign w:val="bottom"/>
            <w:tcBorders>
              <w:top w:val="single" w:sz="8" w:color="CFF0FC"/>
              <w:right w:val="single" w:sz="8" w:color="auto"/>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Sale</w:t>
            </w:r>
          </w:p>
        </w:tc>
        <w:tc>
          <w:tcPr>
            <w:tcW w:w="3240" w:type="dxa"/>
            <w:vAlign w:val="bottom"/>
            <w:tcBorders>
              <w:top w:val="single" w:sz="8" w:color="CFF0FC"/>
              <w:right w:val="single" w:sz="8" w:color="auto"/>
            </w:tcBorders>
            <w:shd w:val="clear" w:color="auto" w:fill="CFF0FC"/>
          </w:tcPr>
          <w:p>
            <w:pPr>
              <w:jc w:val="center"/>
              <w:spacing w:after="0" w:line="103" w:lineRule="exact"/>
              <w:rPr>
                <w:sz w:val="20"/>
                <w:szCs w:val="20"/>
                <w:color w:val="auto"/>
              </w:rPr>
            </w:pPr>
            <w:r>
              <w:rPr>
                <w:rFonts w:ascii="Times New Roman" w:cs="Times New Roman" w:eastAsia="Times New Roman" w:hAnsi="Times New Roman"/>
                <w:sz w:val="11"/>
                <w:szCs w:val="11"/>
                <w:color w:val="auto"/>
              </w:rPr>
              <w:t>Until May 11, 2027, or such earlier date upon which all</w:t>
            </w:r>
          </w:p>
        </w:tc>
        <w:tc>
          <w:tcPr>
            <w:tcW w:w="1440" w:type="dxa"/>
            <w:vAlign w:val="bottom"/>
            <w:tcBorders>
              <w:top w:val="single" w:sz="8" w:color="CFF0FC"/>
              <w:right w:val="single" w:sz="8" w:color="auto"/>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Up to 2,000 shares</w:t>
            </w:r>
          </w:p>
        </w:tc>
        <w:tc>
          <w:tcPr>
            <w:tcW w:w="0" w:type="dxa"/>
            <w:vAlign w:val="bottom"/>
          </w:tcPr>
          <w:p>
            <w:pPr>
              <w:spacing w:after="0"/>
              <w:rPr>
                <w:sz w:val="1"/>
                <w:szCs w:val="1"/>
                <w:color w:val="auto"/>
              </w:rPr>
            </w:pPr>
          </w:p>
        </w:tc>
      </w:tr>
      <w:tr>
        <w:trPr>
          <w:trHeight w:val="107"/>
        </w:trPr>
        <w:tc>
          <w:tcPr>
            <w:tcW w:w="1480" w:type="dxa"/>
            <w:vAlign w:val="bottom"/>
            <w:tcBorders>
              <w:left w:val="single" w:sz="8" w:color="CFF0FC"/>
              <w:right w:val="single" w:sz="8" w:color="auto"/>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III (Director)</w:t>
            </w:r>
          </w:p>
        </w:tc>
        <w:tc>
          <w:tcPr>
            <w:tcW w:w="1400" w:type="dxa"/>
            <w:vAlign w:val="bottom"/>
            <w:tcBorders>
              <w:right w:val="single" w:sz="8" w:color="auto"/>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1440" w:type="dxa"/>
            <w:vAlign w:val="bottom"/>
            <w:tcBorders>
              <w:right w:val="single" w:sz="8" w:color="auto"/>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arrangement</w:t>
            </w:r>
          </w:p>
        </w:tc>
        <w:tc>
          <w:tcPr>
            <w:tcW w:w="1440" w:type="dxa"/>
            <w:vAlign w:val="bottom"/>
            <w:tcBorders>
              <w:right w:val="single" w:sz="8" w:color="auto"/>
            </w:tcBorders>
            <w:vMerge w:val="continue"/>
            <w:shd w:val="clear" w:color="auto" w:fill="CFF0FC"/>
          </w:tcPr>
          <w:p>
            <w:pPr>
              <w:spacing w:after="0"/>
              <w:rPr>
                <w:sz w:val="9"/>
                <w:szCs w:val="9"/>
                <w:color w:val="auto"/>
              </w:rPr>
            </w:pPr>
          </w:p>
        </w:tc>
        <w:tc>
          <w:tcPr>
            <w:tcW w:w="3240" w:type="dxa"/>
            <w:vAlign w:val="bottom"/>
            <w:tcBorders>
              <w:right w:val="single" w:sz="8" w:color="auto"/>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transactions are completed or expire without execution</w:t>
            </w:r>
          </w:p>
        </w:tc>
        <w:tc>
          <w:tcPr>
            <w:tcW w:w="1440" w:type="dxa"/>
            <w:vAlign w:val="bottom"/>
            <w:tcBorders>
              <w:right w:val="single" w:sz="8" w:color="auto"/>
            </w:tcBorders>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480" w:type="dxa"/>
            <w:vAlign w:val="bottom"/>
            <w:tcBorders>
              <w:left w:val="single" w:sz="8" w:color="CFF0FC"/>
              <w:bottom w:val="single" w:sz="8" w:color="auto"/>
              <w:right w:val="single" w:sz="8" w:color="auto"/>
            </w:tcBorders>
            <w:vMerge w:val="continue"/>
            <w:shd w:val="clear" w:color="auto" w:fill="CFF0FC"/>
          </w:tcPr>
          <w:p>
            <w:pPr>
              <w:spacing w:after="0"/>
              <w:rPr>
                <w:sz w:val="5"/>
                <w:szCs w:val="5"/>
                <w:color w:val="auto"/>
              </w:rPr>
            </w:pPr>
          </w:p>
        </w:tc>
        <w:tc>
          <w:tcPr>
            <w:tcW w:w="1400" w:type="dxa"/>
            <w:vAlign w:val="bottom"/>
            <w:tcBorders>
              <w:bottom w:val="single" w:sz="8" w:color="auto"/>
              <w:right w:val="single" w:sz="8" w:color="auto"/>
            </w:tcBorders>
            <w:vMerge w:val="continue"/>
            <w:shd w:val="clear" w:color="auto" w:fill="CFF0FC"/>
          </w:tcPr>
          <w:p>
            <w:pPr>
              <w:spacing w:after="0"/>
              <w:rPr>
                <w:sz w:val="5"/>
                <w:szCs w:val="5"/>
                <w:color w:val="auto"/>
              </w:rPr>
            </w:pPr>
          </w:p>
        </w:tc>
        <w:tc>
          <w:tcPr>
            <w:tcW w:w="1440" w:type="dxa"/>
            <w:vAlign w:val="bottom"/>
            <w:tcBorders>
              <w:bottom w:val="single" w:sz="8" w:color="auto"/>
              <w:right w:val="single" w:sz="8" w:color="auto"/>
            </w:tcBorders>
            <w:vMerge w:val="continue"/>
            <w:shd w:val="clear" w:color="auto" w:fill="CFF0FC"/>
          </w:tcPr>
          <w:p>
            <w:pPr>
              <w:spacing w:after="0"/>
              <w:rPr>
                <w:sz w:val="5"/>
                <w:szCs w:val="5"/>
                <w:color w:val="auto"/>
              </w:rPr>
            </w:pPr>
          </w:p>
        </w:tc>
        <w:tc>
          <w:tcPr>
            <w:tcW w:w="1440" w:type="dxa"/>
            <w:vAlign w:val="bottom"/>
            <w:tcBorders>
              <w:bottom w:val="single" w:sz="8" w:color="auto"/>
              <w:right w:val="single" w:sz="8" w:color="auto"/>
            </w:tcBorders>
            <w:shd w:val="clear" w:color="auto" w:fill="CFF0FC"/>
          </w:tcPr>
          <w:p>
            <w:pPr>
              <w:spacing w:after="0"/>
              <w:rPr>
                <w:sz w:val="5"/>
                <w:szCs w:val="5"/>
                <w:color w:val="auto"/>
              </w:rPr>
            </w:pPr>
          </w:p>
        </w:tc>
        <w:tc>
          <w:tcPr>
            <w:tcW w:w="3240" w:type="dxa"/>
            <w:vAlign w:val="bottom"/>
            <w:tcBorders>
              <w:bottom w:val="single" w:sz="8" w:color="auto"/>
              <w:right w:val="single" w:sz="8" w:color="auto"/>
            </w:tcBorders>
            <w:vMerge w:val="continue"/>
            <w:shd w:val="clear" w:color="auto" w:fill="CFF0FC"/>
          </w:tcPr>
          <w:p>
            <w:pPr>
              <w:spacing w:after="0"/>
              <w:rPr>
                <w:sz w:val="5"/>
                <w:szCs w:val="5"/>
                <w:color w:val="auto"/>
              </w:rPr>
            </w:pPr>
          </w:p>
        </w:tc>
        <w:tc>
          <w:tcPr>
            <w:tcW w:w="1440" w:type="dxa"/>
            <w:vAlign w:val="bottom"/>
            <w:tcBorders>
              <w:bottom w:val="single" w:sz="8" w:color="auto"/>
              <w:right w:val="single" w:sz="8" w:color="auto"/>
            </w:tcBorders>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148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Gerald G. Colella</w:t>
            </w:r>
          </w:p>
        </w:tc>
        <w:tc>
          <w:tcPr>
            <w:tcW w:w="1400" w:type="dxa"/>
            <w:vAlign w:val="bottom"/>
            <w:tcBorders>
              <w:right w:val="single" w:sz="8" w:color="auto"/>
            </w:tcBorders>
            <w:vMerge w:val="restart"/>
          </w:tcPr>
          <w:p>
            <w:pPr>
              <w:jc w:val="center"/>
              <w:ind w:right="30"/>
              <w:spacing w:after="0"/>
              <w:rPr>
                <w:sz w:val="20"/>
                <w:szCs w:val="20"/>
                <w:color w:val="auto"/>
              </w:rPr>
            </w:pPr>
            <w:r>
              <w:rPr>
                <w:rFonts w:ascii="Times New Roman" w:cs="Times New Roman" w:eastAsia="Times New Roman" w:hAnsi="Times New Roman"/>
                <w:sz w:val="14"/>
                <w:szCs w:val="14"/>
                <w:color w:val="auto"/>
              </w:rPr>
              <w:t>Adoption (August 21,</w:t>
            </w:r>
          </w:p>
        </w:tc>
        <w:tc>
          <w:tcPr>
            <w:tcW w:w="1440" w:type="dxa"/>
            <w:vAlign w:val="bottom"/>
            <w:tcBorders>
              <w:right w:val="single" w:sz="8" w:color="auto"/>
            </w:tcBorders>
            <w:vMerge w:val="restart"/>
          </w:tcPr>
          <w:p>
            <w:pPr>
              <w:jc w:val="center"/>
              <w:ind w:right="10"/>
              <w:spacing w:after="0"/>
              <w:rPr>
                <w:sz w:val="20"/>
                <w:szCs w:val="20"/>
                <w:color w:val="auto"/>
              </w:rPr>
            </w:pPr>
            <w:r>
              <w:rPr>
                <w:rFonts w:ascii="Times New Roman" w:cs="Times New Roman" w:eastAsia="Times New Roman" w:hAnsi="Times New Roman"/>
                <w:sz w:val="14"/>
                <w:szCs w:val="14"/>
                <w:color w:val="auto"/>
              </w:rPr>
              <w:t>Rule 10b5-1 trading</w:t>
            </w: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Sale</w:t>
            </w:r>
          </w:p>
        </w:tc>
        <w:tc>
          <w:tcPr>
            <w:tcW w:w="3240" w:type="dxa"/>
            <w:vAlign w:val="bottom"/>
            <w:tcBorders>
              <w:right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Until November 23, 2027, or such earlier date upon</w:t>
            </w: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Up to 20,000 shares</w:t>
            </w:r>
          </w:p>
        </w:tc>
        <w:tc>
          <w:tcPr>
            <w:tcW w:w="0" w:type="dxa"/>
            <w:vAlign w:val="bottom"/>
          </w:tcPr>
          <w:p>
            <w:pPr>
              <w:spacing w:after="0"/>
              <w:rPr>
                <w:sz w:val="1"/>
                <w:szCs w:val="1"/>
                <w:color w:val="auto"/>
              </w:rPr>
            </w:pPr>
          </w:p>
        </w:tc>
      </w:tr>
      <w:tr>
        <w:trPr>
          <w:trHeight w:val="144"/>
        </w:trPr>
        <w:tc>
          <w:tcPr>
            <w:tcW w:w="1480" w:type="dxa"/>
            <w:vAlign w:val="bottom"/>
            <w:tcBorders>
              <w:right w:val="single" w:sz="8" w:color="auto"/>
            </w:tcBorders>
          </w:tcPr>
          <w:p>
            <w:pPr>
              <w:jc w:val="center"/>
              <w:ind w:right="13"/>
              <w:spacing w:after="0" w:line="145" w:lineRule="exact"/>
              <w:rPr>
                <w:sz w:val="20"/>
                <w:szCs w:val="20"/>
                <w:color w:val="auto"/>
              </w:rPr>
            </w:pPr>
            <w:r>
              <w:rPr>
                <w:rFonts w:ascii="Times New Roman" w:cs="Times New Roman" w:eastAsia="Times New Roman" w:hAnsi="Times New Roman"/>
                <w:sz w:val="14"/>
                <w:szCs w:val="14"/>
                <w:color w:val="auto"/>
              </w:rPr>
              <w:t>(Chairman of the Board</w:t>
            </w:r>
          </w:p>
        </w:tc>
        <w:tc>
          <w:tcPr>
            <w:tcW w:w="1400" w:type="dxa"/>
            <w:vAlign w:val="bottom"/>
            <w:tcBorders>
              <w:right w:val="single" w:sz="8" w:color="auto"/>
            </w:tcBorders>
            <w:vMerge w:val="continue"/>
          </w:tcPr>
          <w:p>
            <w:pPr>
              <w:spacing w:after="0"/>
              <w:rPr>
                <w:sz w:val="12"/>
                <w:szCs w:val="12"/>
                <w:color w:val="auto"/>
              </w:rPr>
            </w:pPr>
          </w:p>
        </w:tc>
        <w:tc>
          <w:tcPr>
            <w:tcW w:w="1440" w:type="dxa"/>
            <w:vAlign w:val="bottom"/>
            <w:tcBorders>
              <w:right w:val="single" w:sz="8" w:color="auto"/>
            </w:tcBorders>
            <w:vMerge w:val="continue"/>
          </w:tcPr>
          <w:p>
            <w:pPr>
              <w:spacing w:after="0"/>
              <w:rPr>
                <w:sz w:val="12"/>
                <w:szCs w:val="12"/>
                <w:color w:val="auto"/>
              </w:rPr>
            </w:pPr>
          </w:p>
        </w:tc>
        <w:tc>
          <w:tcPr>
            <w:tcW w:w="1440" w:type="dxa"/>
            <w:vAlign w:val="bottom"/>
            <w:tcBorders>
              <w:right w:val="single" w:sz="8" w:color="auto"/>
            </w:tcBorders>
            <w:vMerge w:val="continue"/>
          </w:tcPr>
          <w:p>
            <w:pPr>
              <w:spacing w:after="0"/>
              <w:rPr>
                <w:sz w:val="12"/>
                <w:szCs w:val="12"/>
                <w:color w:val="auto"/>
              </w:rPr>
            </w:pPr>
          </w:p>
        </w:tc>
        <w:tc>
          <w:tcPr>
            <w:tcW w:w="3240" w:type="dxa"/>
            <w:vAlign w:val="bottom"/>
            <w:tcBorders>
              <w:right w:val="single" w:sz="8" w:color="auto"/>
            </w:tcBorders>
          </w:tcPr>
          <w:p>
            <w:pPr>
              <w:jc w:val="center"/>
              <w:ind w:right="13"/>
              <w:spacing w:after="0" w:line="145" w:lineRule="exact"/>
              <w:rPr>
                <w:sz w:val="20"/>
                <w:szCs w:val="20"/>
                <w:color w:val="auto"/>
              </w:rPr>
            </w:pPr>
            <w:r>
              <w:rPr>
                <w:rFonts w:ascii="Times New Roman" w:cs="Times New Roman" w:eastAsia="Times New Roman" w:hAnsi="Times New Roman"/>
                <w:sz w:val="14"/>
                <w:szCs w:val="14"/>
                <w:color w:val="auto"/>
              </w:rPr>
              <w:t>which all transactions are completed or expire without</w:t>
            </w:r>
          </w:p>
        </w:tc>
        <w:tc>
          <w:tcPr>
            <w:tcW w:w="14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of Directors)</w:t>
            </w:r>
          </w:p>
        </w:tc>
        <w:tc>
          <w:tcPr>
            <w:tcW w:w="14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2026)</w:t>
            </w:r>
          </w:p>
        </w:tc>
        <w:tc>
          <w:tcPr>
            <w:tcW w:w="14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arrangement</w:t>
            </w:r>
          </w:p>
        </w:tc>
        <w:tc>
          <w:tcPr>
            <w:tcW w:w="1440" w:type="dxa"/>
            <w:vAlign w:val="bottom"/>
            <w:tcBorders>
              <w:right w:val="single" w:sz="8" w:color="auto"/>
            </w:tcBorders>
          </w:tcPr>
          <w:p>
            <w:pPr>
              <w:spacing w:after="0"/>
              <w:rPr>
                <w:sz w:val="12"/>
                <w:szCs w:val="12"/>
                <w:color w:val="auto"/>
              </w:rPr>
            </w:pPr>
          </w:p>
        </w:tc>
        <w:tc>
          <w:tcPr>
            <w:tcW w:w="3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execution</w:t>
            </w:r>
          </w:p>
        </w:tc>
        <w:tc>
          <w:tcPr>
            <w:tcW w:w="14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right w:val="single" w:sz="8" w:color="auto"/>
            </w:tcBorders>
            <w:vMerge w:val="continue"/>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3240" w:type="dxa"/>
            <w:vAlign w:val="bottom"/>
            <w:tcBorders>
              <w:bottom w:val="single" w:sz="8" w:color="auto"/>
              <w:right w:val="single" w:sz="8" w:color="auto"/>
            </w:tcBorders>
            <w:vMerge w:val="continue"/>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1480" w:type="dxa"/>
            <w:vAlign w:val="bottom"/>
            <w:tcBorders>
              <w:left w:val="single" w:sz="8" w:color="CFF0FC"/>
              <w:right w:val="single" w:sz="8" w:color="auto"/>
            </w:tcBorders>
            <w:shd w:val="clear" w:color="auto" w:fill="CFF0FC"/>
          </w:tcPr>
          <w:p>
            <w:pPr>
              <w:jc w:val="center"/>
              <w:ind w:right="13"/>
              <w:spacing w:after="0" w:line="119" w:lineRule="exact"/>
              <w:rPr>
                <w:sz w:val="20"/>
                <w:szCs w:val="20"/>
                <w:color w:val="auto"/>
              </w:rPr>
            </w:pPr>
            <w:r>
              <w:rPr>
                <w:rFonts w:ascii="Times New Roman" w:cs="Times New Roman" w:eastAsia="Times New Roman" w:hAnsi="Times New Roman"/>
                <w:sz w:val="13"/>
                <w:szCs w:val="13"/>
                <w:color w:val="auto"/>
              </w:rPr>
              <w:t>Renee M.</w:t>
            </w:r>
          </w:p>
        </w:tc>
        <w:tc>
          <w:tcPr>
            <w:tcW w:w="1400" w:type="dxa"/>
            <w:vAlign w:val="bottom"/>
            <w:tcBorders>
              <w:right w:val="single" w:sz="8" w:color="auto"/>
            </w:tcBorders>
            <w:shd w:val="clear" w:color="auto" w:fill="CFF0FC"/>
          </w:tcPr>
          <w:p>
            <w:pPr>
              <w:spacing w:after="0"/>
              <w:rPr>
                <w:sz w:val="10"/>
                <w:szCs w:val="10"/>
                <w:color w:val="auto"/>
              </w:rPr>
            </w:pPr>
          </w:p>
        </w:tc>
        <w:tc>
          <w:tcPr>
            <w:tcW w:w="1440" w:type="dxa"/>
            <w:vAlign w:val="bottom"/>
            <w:tcBorders>
              <w:right w:val="single" w:sz="8" w:color="auto"/>
            </w:tcBorders>
            <w:shd w:val="clear" w:color="auto" w:fill="CFF0FC"/>
          </w:tcPr>
          <w:p>
            <w:pPr>
              <w:spacing w:after="0"/>
              <w:rPr>
                <w:sz w:val="10"/>
                <w:szCs w:val="10"/>
                <w:color w:val="auto"/>
              </w:rPr>
            </w:pPr>
          </w:p>
        </w:tc>
        <w:tc>
          <w:tcPr>
            <w:tcW w:w="1440" w:type="dxa"/>
            <w:vAlign w:val="bottom"/>
            <w:tcBorders>
              <w:right w:val="single" w:sz="8" w:color="auto"/>
            </w:tcBorders>
            <w:shd w:val="clear" w:color="auto" w:fill="CFF0FC"/>
          </w:tcPr>
          <w:p>
            <w:pPr>
              <w:spacing w:after="0"/>
              <w:rPr>
                <w:sz w:val="10"/>
                <w:szCs w:val="10"/>
                <w:color w:val="auto"/>
              </w:rPr>
            </w:pPr>
          </w:p>
        </w:tc>
        <w:tc>
          <w:tcPr>
            <w:tcW w:w="3240" w:type="dxa"/>
            <w:vAlign w:val="bottom"/>
            <w:tcBorders>
              <w:right w:val="single" w:sz="8" w:color="auto"/>
            </w:tcBorders>
            <w:shd w:val="clear" w:color="auto" w:fill="CFF0FC"/>
          </w:tcPr>
          <w:p>
            <w:pPr>
              <w:spacing w:after="0"/>
              <w:rPr>
                <w:sz w:val="10"/>
                <w:szCs w:val="10"/>
                <w:color w:val="auto"/>
              </w:rPr>
            </w:pPr>
          </w:p>
        </w:tc>
        <w:tc>
          <w:tcPr>
            <w:tcW w:w="1440" w:type="dxa"/>
            <w:vAlign w:val="bottom"/>
            <w:tcBorders>
              <w:right w:val="single" w:sz="8" w:color="auto"/>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1480" w:type="dxa"/>
            <w:vAlign w:val="bottom"/>
            <w:tcBorders>
              <w:left w:val="single" w:sz="8" w:color="CFF0FC"/>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Donlan (Executive Vice</w:t>
            </w:r>
          </w:p>
        </w:tc>
        <w:tc>
          <w:tcPr>
            <w:tcW w:w="1400" w:type="dxa"/>
            <w:vAlign w:val="bottom"/>
            <w:tcBorders>
              <w:right w:val="single" w:sz="8" w:color="auto"/>
            </w:tcBorders>
            <w:shd w:val="clear" w:color="auto" w:fill="CFF0FC"/>
          </w:tcPr>
          <w:p>
            <w:pPr>
              <w:jc w:val="center"/>
              <w:ind w:right="30"/>
              <w:spacing w:after="0"/>
              <w:rPr>
                <w:sz w:val="20"/>
                <w:szCs w:val="20"/>
                <w:color w:val="auto"/>
              </w:rPr>
            </w:pPr>
            <w:r>
              <w:rPr>
                <w:rFonts w:ascii="Times New Roman" w:cs="Times New Roman" w:eastAsia="Times New Roman" w:hAnsi="Times New Roman"/>
                <w:sz w:val="14"/>
                <w:szCs w:val="14"/>
                <w:color w:val="auto"/>
              </w:rPr>
              <w:t>Adoption (August 20,</w:t>
            </w:r>
          </w:p>
        </w:tc>
        <w:tc>
          <w:tcPr>
            <w:tcW w:w="1440" w:type="dxa"/>
            <w:vAlign w:val="bottom"/>
            <w:tcBorders>
              <w:right w:val="single" w:sz="8" w:color="auto"/>
            </w:tcBorders>
            <w:shd w:val="clear" w:color="auto" w:fill="CFF0FC"/>
          </w:tcPr>
          <w:p>
            <w:pPr>
              <w:jc w:val="center"/>
              <w:ind w:right="10"/>
              <w:spacing w:after="0"/>
              <w:rPr>
                <w:sz w:val="20"/>
                <w:szCs w:val="20"/>
                <w:color w:val="auto"/>
              </w:rPr>
            </w:pPr>
            <w:r>
              <w:rPr>
                <w:rFonts w:ascii="Times New Roman" w:cs="Times New Roman" w:eastAsia="Times New Roman" w:hAnsi="Times New Roman"/>
                <w:sz w:val="14"/>
                <w:szCs w:val="14"/>
                <w:color w:val="auto"/>
              </w:rPr>
              <w:t>Rule 10b5-1 trading</w:t>
            </w:r>
          </w:p>
        </w:tc>
        <w:tc>
          <w:tcPr>
            <w:tcW w:w="1440" w:type="dxa"/>
            <w:vAlign w:val="bottom"/>
            <w:tcBorders>
              <w:right w:val="single" w:sz="8" w:color="auto"/>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Sale</w:t>
            </w:r>
          </w:p>
        </w:tc>
        <w:tc>
          <w:tcPr>
            <w:tcW w:w="3240" w:type="dxa"/>
            <w:vAlign w:val="bottom"/>
            <w:tcBorders>
              <w:right w:val="single" w:sz="8" w:color="auto"/>
            </w:tcBorders>
            <w:shd w:val="clear" w:color="auto" w:fill="CFF0FC"/>
          </w:tcPr>
          <w:p>
            <w:pPr>
              <w:jc w:val="center"/>
              <w:ind w:right="13"/>
              <w:spacing w:after="0"/>
              <w:rPr>
                <w:sz w:val="20"/>
                <w:szCs w:val="20"/>
                <w:color w:val="auto"/>
              </w:rPr>
            </w:pPr>
            <w:r>
              <w:rPr>
                <w:rFonts w:ascii="Times New Roman" w:cs="Times New Roman" w:eastAsia="Times New Roman" w:hAnsi="Times New Roman"/>
                <w:sz w:val="14"/>
                <w:szCs w:val="14"/>
                <w:color w:val="auto"/>
              </w:rPr>
              <w:t>Until August 20, 2027, or such earlier date upon which</w:t>
            </w:r>
          </w:p>
        </w:tc>
        <w:tc>
          <w:tcPr>
            <w:tcW w:w="1440" w:type="dxa"/>
            <w:vAlign w:val="bottom"/>
            <w:tcBorders>
              <w:right w:val="single" w:sz="8" w:color="auto"/>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Up to 6,000 shares</w:t>
            </w:r>
          </w:p>
        </w:tc>
        <w:tc>
          <w:tcPr>
            <w:tcW w:w="0" w:type="dxa"/>
            <w:vAlign w:val="bottom"/>
          </w:tcPr>
          <w:p>
            <w:pPr>
              <w:spacing w:after="0"/>
              <w:rPr>
                <w:sz w:val="1"/>
                <w:szCs w:val="1"/>
                <w:color w:val="auto"/>
              </w:rPr>
            </w:pPr>
          </w:p>
        </w:tc>
      </w:tr>
      <w:tr>
        <w:trPr>
          <w:trHeight w:val="85"/>
        </w:trPr>
        <w:tc>
          <w:tcPr>
            <w:tcW w:w="1480" w:type="dxa"/>
            <w:vAlign w:val="bottom"/>
            <w:tcBorders>
              <w:left w:val="single" w:sz="8" w:color="CFF0FC"/>
              <w:right w:val="single" w:sz="8" w:color="auto"/>
            </w:tcBorders>
            <w:shd w:val="clear" w:color="auto" w:fill="CFF0FC"/>
          </w:tcPr>
          <w:p>
            <w:pPr>
              <w:jc w:val="center"/>
              <w:spacing w:after="0" w:line="85" w:lineRule="exact"/>
              <w:rPr>
                <w:sz w:val="20"/>
                <w:szCs w:val="20"/>
                <w:color w:val="auto"/>
              </w:rPr>
            </w:pPr>
            <w:r>
              <w:rPr>
                <w:rFonts w:ascii="Times New Roman" w:cs="Times New Roman" w:eastAsia="Times New Roman" w:hAnsi="Times New Roman"/>
                <w:sz w:val="9"/>
                <w:szCs w:val="9"/>
                <w:color w:val="auto"/>
              </w:rPr>
              <w:t>President, General</w:t>
            </w:r>
          </w:p>
        </w:tc>
        <w:tc>
          <w:tcPr>
            <w:tcW w:w="1400" w:type="dxa"/>
            <w:vAlign w:val="bottom"/>
            <w:tcBorders>
              <w:right w:val="single" w:sz="8" w:color="auto"/>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1440" w:type="dxa"/>
            <w:vAlign w:val="bottom"/>
            <w:tcBorders>
              <w:right w:val="single" w:sz="8" w:color="auto"/>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arrangement</w:t>
            </w:r>
          </w:p>
        </w:tc>
        <w:tc>
          <w:tcPr>
            <w:tcW w:w="1440" w:type="dxa"/>
            <w:vAlign w:val="bottom"/>
            <w:tcBorders>
              <w:right w:val="single" w:sz="8" w:color="auto"/>
            </w:tcBorders>
            <w:vMerge w:val="continue"/>
            <w:shd w:val="clear" w:color="auto" w:fill="CFF0FC"/>
          </w:tcPr>
          <w:p>
            <w:pPr>
              <w:spacing w:after="0"/>
              <w:rPr>
                <w:sz w:val="7"/>
                <w:szCs w:val="7"/>
                <w:color w:val="auto"/>
              </w:rPr>
            </w:pPr>
          </w:p>
        </w:tc>
        <w:tc>
          <w:tcPr>
            <w:tcW w:w="3240" w:type="dxa"/>
            <w:vAlign w:val="bottom"/>
            <w:tcBorders>
              <w:right w:val="single" w:sz="8" w:color="auto"/>
            </w:tcBorders>
            <w:shd w:val="clear" w:color="auto" w:fill="CFF0FC"/>
          </w:tcPr>
          <w:p>
            <w:pPr>
              <w:jc w:val="center"/>
              <w:spacing w:after="0" w:line="85" w:lineRule="exact"/>
              <w:rPr>
                <w:sz w:val="20"/>
                <w:szCs w:val="20"/>
                <w:color w:val="auto"/>
              </w:rPr>
            </w:pPr>
            <w:r>
              <w:rPr>
                <w:rFonts w:ascii="Times New Roman" w:cs="Times New Roman" w:eastAsia="Times New Roman" w:hAnsi="Times New Roman"/>
                <w:sz w:val="9"/>
                <w:szCs w:val="9"/>
                <w:color w:val="auto"/>
              </w:rPr>
              <w:t>all transactions are completed or expire without</w:t>
            </w:r>
          </w:p>
        </w:tc>
        <w:tc>
          <w:tcPr>
            <w:tcW w:w="1440" w:type="dxa"/>
            <w:vAlign w:val="bottom"/>
            <w:tcBorders>
              <w:right w:val="single" w:sz="8" w:color="auto"/>
            </w:tcBorders>
            <w:vMerge w:val="continue"/>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480" w:type="dxa"/>
            <w:vAlign w:val="bottom"/>
            <w:tcBorders>
              <w:left w:val="single" w:sz="8" w:color="CFF0FC"/>
              <w:right w:val="single" w:sz="8" w:color="auto"/>
            </w:tcBorders>
            <w:vMerge w:val="restart"/>
            <w:shd w:val="clear" w:color="auto" w:fill="CFF0FC"/>
          </w:tcPr>
          <w:p>
            <w:pPr>
              <w:jc w:val="center"/>
              <w:ind w:right="13"/>
              <w:spacing w:after="0" w:line="149" w:lineRule="exact"/>
              <w:rPr>
                <w:sz w:val="20"/>
                <w:szCs w:val="20"/>
                <w:color w:val="auto"/>
              </w:rPr>
            </w:pPr>
            <w:r>
              <w:rPr>
                <w:rFonts w:ascii="Times New Roman" w:cs="Times New Roman" w:eastAsia="Times New Roman" w:hAnsi="Times New Roman"/>
                <w:sz w:val="14"/>
                <w:szCs w:val="14"/>
                <w:color w:val="auto"/>
              </w:rPr>
              <w:t>Counsel and Chief</w:t>
            </w:r>
          </w:p>
        </w:tc>
        <w:tc>
          <w:tcPr>
            <w:tcW w:w="1400" w:type="dxa"/>
            <w:vAlign w:val="bottom"/>
            <w:tcBorders>
              <w:right w:val="single" w:sz="8" w:color="auto"/>
            </w:tcBorders>
            <w:vMerge w:val="continue"/>
            <w:shd w:val="clear" w:color="auto" w:fill="CFF0FC"/>
          </w:tcPr>
          <w:p>
            <w:pPr>
              <w:spacing w:after="0"/>
              <w:rPr>
                <w:sz w:val="9"/>
                <w:szCs w:val="9"/>
                <w:color w:val="auto"/>
              </w:rPr>
            </w:pPr>
          </w:p>
        </w:tc>
        <w:tc>
          <w:tcPr>
            <w:tcW w:w="1440" w:type="dxa"/>
            <w:vAlign w:val="bottom"/>
            <w:tcBorders>
              <w:right w:val="single" w:sz="8" w:color="auto"/>
            </w:tcBorders>
            <w:vMerge w:val="continue"/>
            <w:shd w:val="clear" w:color="auto" w:fill="CFF0FC"/>
          </w:tcPr>
          <w:p>
            <w:pPr>
              <w:spacing w:after="0"/>
              <w:rPr>
                <w:sz w:val="9"/>
                <w:szCs w:val="9"/>
                <w:color w:val="auto"/>
              </w:rPr>
            </w:pPr>
          </w:p>
        </w:tc>
        <w:tc>
          <w:tcPr>
            <w:tcW w:w="1440" w:type="dxa"/>
            <w:vAlign w:val="bottom"/>
            <w:tcBorders>
              <w:right w:val="single" w:sz="8" w:color="auto"/>
            </w:tcBorders>
            <w:shd w:val="clear" w:color="auto" w:fill="CFF0FC"/>
          </w:tcPr>
          <w:p>
            <w:pPr>
              <w:spacing w:after="0"/>
              <w:rPr>
                <w:sz w:val="9"/>
                <w:szCs w:val="9"/>
                <w:color w:val="auto"/>
              </w:rPr>
            </w:pPr>
          </w:p>
        </w:tc>
        <w:tc>
          <w:tcPr>
            <w:tcW w:w="3240" w:type="dxa"/>
            <w:vAlign w:val="bottom"/>
            <w:tcBorders>
              <w:right w:val="single" w:sz="8" w:color="auto"/>
            </w:tcBorders>
            <w:vMerge w:val="restart"/>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execution</w:t>
            </w:r>
          </w:p>
        </w:tc>
        <w:tc>
          <w:tcPr>
            <w:tcW w:w="1440" w:type="dxa"/>
            <w:vAlign w:val="bottom"/>
            <w:tcBorders>
              <w:right w:val="single" w:sz="8" w:color="auto"/>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480" w:type="dxa"/>
            <w:vAlign w:val="bottom"/>
            <w:tcBorders>
              <w:left w:val="single" w:sz="8" w:color="CFF0FC"/>
              <w:right w:val="single" w:sz="8" w:color="auto"/>
            </w:tcBorders>
            <w:vMerge w:val="continue"/>
            <w:shd w:val="clear" w:color="auto" w:fill="CFF0FC"/>
          </w:tcPr>
          <w:p>
            <w:pPr>
              <w:spacing w:after="0"/>
              <w:rPr>
                <w:sz w:val="3"/>
                <w:szCs w:val="3"/>
                <w:color w:val="auto"/>
              </w:rPr>
            </w:pPr>
          </w:p>
        </w:tc>
        <w:tc>
          <w:tcPr>
            <w:tcW w:w="1400" w:type="dxa"/>
            <w:vAlign w:val="bottom"/>
            <w:tcBorders>
              <w:right w:val="single" w:sz="8" w:color="auto"/>
            </w:tcBorders>
            <w:shd w:val="clear" w:color="auto" w:fill="CFF0FC"/>
          </w:tcPr>
          <w:p>
            <w:pPr>
              <w:spacing w:after="0"/>
              <w:rPr>
                <w:sz w:val="3"/>
                <w:szCs w:val="3"/>
                <w:color w:val="auto"/>
              </w:rPr>
            </w:pPr>
          </w:p>
        </w:tc>
        <w:tc>
          <w:tcPr>
            <w:tcW w:w="1440" w:type="dxa"/>
            <w:vAlign w:val="bottom"/>
            <w:tcBorders>
              <w:right w:val="single" w:sz="8" w:color="auto"/>
            </w:tcBorders>
            <w:shd w:val="clear" w:color="auto" w:fill="CFF0FC"/>
          </w:tcPr>
          <w:p>
            <w:pPr>
              <w:spacing w:after="0"/>
              <w:rPr>
                <w:sz w:val="3"/>
                <w:szCs w:val="3"/>
                <w:color w:val="auto"/>
              </w:rPr>
            </w:pPr>
          </w:p>
        </w:tc>
        <w:tc>
          <w:tcPr>
            <w:tcW w:w="1440" w:type="dxa"/>
            <w:vAlign w:val="bottom"/>
            <w:tcBorders>
              <w:right w:val="single" w:sz="8" w:color="auto"/>
            </w:tcBorders>
            <w:shd w:val="clear" w:color="auto" w:fill="CFF0FC"/>
          </w:tcPr>
          <w:p>
            <w:pPr>
              <w:spacing w:after="0"/>
              <w:rPr>
                <w:sz w:val="3"/>
                <w:szCs w:val="3"/>
                <w:color w:val="auto"/>
              </w:rPr>
            </w:pPr>
          </w:p>
        </w:tc>
        <w:tc>
          <w:tcPr>
            <w:tcW w:w="3240" w:type="dxa"/>
            <w:vAlign w:val="bottom"/>
            <w:tcBorders>
              <w:right w:val="single" w:sz="8" w:color="auto"/>
            </w:tcBorders>
            <w:vMerge w:val="continue"/>
            <w:shd w:val="clear" w:color="auto" w:fill="CFF0FC"/>
          </w:tcPr>
          <w:p>
            <w:pPr>
              <w:spacing w:after="0"/>
              <w:rPr>
                <w:sz w:val="3"/>
                <w:szCs w:val="3"/>
                <w:color w:val="auto"/>
              </w:rPr>
            </w:pPr>
          </w:p>
        </w:tc>
        <w:tc>
          <w:tcPr>
            <w:tcW w:w="1440" w:type="dxa"/>
            <w:vAlign w:val="bottom"/>
            <w:tcBorders>
              <w:right w:val="single" w:sz="8" w:color="auto"/>
            </w:tcBorders>
            <w:shd w:val="clear" w:color="auto" w:fill="CFF0FC"/>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1480" w:type="dxa"/>
            <w:vAlign w:val="bottom"/>
            <w:tcBorders>
              <w:left w:val="single" w:sz="8" w:color="CFF0FC"/>
              <w:bottom w:val="single" w:sz="8" w:color="auto"/>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Compliance Officer)</w:t>
            </w:r>
          </w:p>
        </w:tc>
        <w:tc>
          <w:tcPr>
            <w:tcW w:w="1400" w:type="dxa"/>
            <w:vAlign w:val="bottom"/>
            <w:tcBorders>
              <w:bottom w:val="single" w:sz="8" w:color="auto"/>
              <w:right w:val="single" w:sz="8" w:color="auto"/>
            </w:tcBorders>
            <w:shd w:val="clear" w:color="auto" w:fill="CFF0FC"/>
          </w:tcPr>
          <w:p>
            <w:pPr>
              <w:spacing w:after="0"/>
              <w:rPr>
                <w:sz w:val="14"/>
                <w:szCs w:val="14"/>
                <w:color w:val="auto"/>
              </w:rPr>
            </w:pPr>
          </w:p>
        </w:tc>
        <w:tc>
          <w:tcPr>
            <w:tcW w:w="1440" w:type="dxa"/>
            <w:vAlign w:val="bottom"/>
            <w:tcBorders>
              <w:bottom w:val="single" w:sz="8" w:color="auto"/>
              <w:right w:val="single" w:sz="8" w:color="auto"/>
            </w:tcBorders>
            <w:shd w:val="clear" w:color="auto" w:fill="CFF0FC"/>
          </w:tcPr>
          <w:p>
            <w:pPr>
              <w:spacing w:after="0"/>
              <w:rPr>
                <w:sz w:val="14"/>
                <w:szCs w:val="14"/>
                <w:color w:val="auto"/>
              </w:rPr>
            </w:pPr>
          </w:p>
        </w:tc>
        <w:tc>
          <w:tcPr>
            <w:tcW w:w="1440" w:type="dxa"/>
            <w:vAlign w:val="bottom"/>
            <w:tcBorders>
              <w:bottom w:val="single" w:sz="8" w:color="auto"/>
              <w:right w:val="single" w:sz="8" w:color="auto"/>
            </w:tcBorders>
            <w:shd w:val="clear" w:color="auto" w:fill="CFF0FC"/>
          </w:tcPr>
          <w:p>
            <w:pPr>
              <w:spacing w:after="0"/>
              <w:rPr>
                <w:sz w:val="14"/>
                <w:szCs w:val="14"/>
                <w:color w:val="auto"/>
              </w:rPr>
            </w:pPr>
          </w:p>
        </w:tc>
        <w:tc>
          <w:tcPr>
            <w:tcW w:w="3240" w:type="dxa"/>
            <w:vAlign w:val="bottom"/>
            <w:tcBorders>
              <w:bottom w:val="single" w:sz="8" w:color="auto"/>
              <w:right w:val="single" w:sz="8" w:color="auto"/>
            </w:tcBorders>
            <w:shd w:val="clear" w:color="auto" w:fill="CFF0FC"/>
          </w:tcPr>
          <w:p>
            <w:pPr>
              <w:spacing w:after="0"/>
              <w:rPr>
                <w:sz w:val="14"/>
                <w:szCs w:val="14"/>
                <w:color w:val="auto"/>
              </w:rPr>
            </w:pPr>
          </w:p>
        </w:tc>
        <w:tc>
          <w:tcPr>
            <w:tcW w:w="1440" w:type="dxa"/>
            <w:vAlign w:val="bottom"/>
            <w:tcBorders>
              <w:bottom w:val="single" w:sz="8" w:color="auto"/>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ITEM 6. EXHIBITS.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Exhibit No.</w:t>
            </w:r>
          </w:p>
        </w:tc>
        <w:tc>
          <w:tcPr>
            <w:tcW w:w="120" w:type="dxa"/>
            <w:vAlign w:val="bottom"/>
          </w:tcPr>
          <w:p>
            <w:pPr>
              <w:spacing w:after="0"/>
              <w:rPr>
                <w:sz w:val="20"/>
                <w:szCs w:val="20"/>
                <w:color w:val="auto"/>
              </w:rPr>
            </w:pPr>
          </w:p>
        </w:tc>
        <w:tc>
          <w:tcPr>
            <w:tcW w:w="1010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Exhibit Description</w:t>
            </w: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366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9"/>
              </w:rPr>
            </w:pPr>
            <w:hyperlink r:id="rId497">
              <w:r>
                <w:rPr>
                  <w:rFonts w:ascii="Times New Roman" w:cs="Times New Roman" w:eastAsia="Times New Roman" w:hAnsi="Times New Roman"/>
                  <w:sz w:val="18"/>
                  <w:szCs w:val="18"/>
                  <w:color w:val="0000FF"/>
                  <w:w w:val="99"/>
                </w:rPr>
                <w:t>Restated Articles of Organization of the Registrant</w:t>
              </w:r>
            </w:hyperlink>
          </w:p>
        </w:tc>
        <w:tc>
          <w:tcPr>
            <w:tcW w:w="6440" w:type="dxa"/>
            <w:vAlign w:val="bottom"/>
            <w:gridSpan w:val="5"/>
          </w:tcPr>
          <w:p>
            <w:pPr>
              <w:spacing w:after="0"/>
              <w:rPr>
                <w:sz w:val="24"/>
                <w:szCs w:val="24"/>
                <w:color w:val="auto"/>
              </w:rPr>
            </w:pPr>
          </w:p>
        </w:tc>
      </w:tr>
      <w:tr>
        <w:trPr>
          <w:trHeight w:val="34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10100" w:type="dxa"/>
            <w:vAlign w:val="bottom"/>
            <w:gridSpan w:val="7"/>
          </w:tcPr>
          <w:p>
            <w:pPr>
              <w:spacing w:after="0"/>
              <w:rPr>
                <w:rFonts w:ascii="Times New Roman" w:cs="Times New Roman" w:eastAsia="Times New Roman" w:hAnsi="Times New Roman"/>
                <w:sz w:val="18"/>
                <w:szCs w:val="18"/>
                <w:color w:val="0000FF"/>
              </w:rPr>
            </w:pPr>
            <w:hyperlink r:id="rId498">
              <w:r>
                <w:rPr>
                  <w:rFonts w:ascii="Times New Roman" w:cs="Times New Roman" w:eastAsia="Times New Roman" w:hAnsi="Times New Roman"/>
                  <w:sz w:val="18"/>
                  <w:szCs w:val="18"/>
                  <w:color w:val="0000FF"/>
                </w:rPr>
                <w:t>Third Amended and Restated By-Laws of the Registrant</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1240" w:type="dxa"/>
            <w:vAlign w:val="bottom"/>
            <w:tcBorders>
              <w:right w:val="single" w:sz="8" w:color="0000EE"/>
            </w:tcBorders>
            <w:gridSpan w:val="2"/>
            <w:shd w:val="clear" w:color="auto" w:fill="0000FF"/>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100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 13a-14(a)/Rule 15d-14(a) of the Securities Exchange Act of 1934, as amended</w:t>
            </w:r>
          </w:p>
        </w:tc>
        <w:tc>
          <w:tcPr>
            <w:tcW w:w="40" w:type="dxa"/>
            <w:vAlign w:val="bottom"/>
          </w:tcPr>
          <w:p>
            <w:pPr>
              <w:spacing w:after="0"/>
              <w:rPr>
                <w:sz w:val="24"/>
                <w:szCs w:val="24"/>
                <w:color w:val="auto"/>
              </w:rPr>
            </w:pPr>
          </w:p>
        </w:tc>
      </w:tr>
      <w:tr>
        <w:trPr>
          <w:trHeight w:val="318"/>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 13a-14(a)/Rule 15d-14(a) of the Securities Exchange Act of 1934, as amended</w:t>
            </w:r>
          </w:p>
        </w:tc>
      </w:tr>
      <w:tr>
        <w:trPr>
          <w:trHeight w:val="318"/>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984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Chief Financial Officer pursuant to 18 U.S.C. Section 1350, as adopted pursuant to Section</w:t>
            </w:r>
          </w:p>
        </w:tc>
        <w:tc>
          <w:tcPr>
            <w:tcW w:w="160" w:type="dxa"/>
            <w:vAlign w:val="bottom"/>
            <w:tcBorders>
              <w:top w:val="single" w:sz="8" w:color="0000EE"/>
            </w:tcBorders>
          </w:tcPr>
          <w:p>
            <w:pPr>
              <w:spacing w:after="0"/>
              <w:rPr>
                <w:sz w:val="24"/>
                <w:szCs w:val="24"/>
                <w:color w:val="auto"/>
              </w:rPr>
            </w:pPr>
          </w:p>
        </w:tc>
        <w:tc>
          <w:tcPr>
            <w:tcW w:w="100" w:type="dxa"/>
            <w:vAlign w:val="bottom"/>
            <w:gridSpan w:val="2"/>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906 of the Sarbanes-Oxley Act of 2002</w:t>
            </w:r>
          </w:p>
        </w:tc>
        <w:tc>
          <w:tcPr>
            <w:tcW w:w="7260" w:type="dxa"/>
            <w:vAlign w:val="bottom"/>
            <w:gridSpan w:val="6"/>
          </w:tcPr>
          <w:p>
            <w:pPr>
              <w:spacing w:after="0"/>
              <w:rPr>
                <w:sz w:val="17"/>
                <w:szCs w:val="17"/>
                <w:color w:val="auto"/>
              </w:rPr>
            </w:pPr>
          </w:p>
        </w:tc>
      </w:tr>
      <w:tr>
        <w:trPr>
          <w:trHeight w:val="34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4"/>
                <w:szCs w:val="24"/>
                <w:color w:val="auto"/>
              </w:rPr>
            </w:pP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3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33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9">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Previously filed</w:t>
      </w:r>
    </w:p>
    <w:p>
      <w:pPr>
        <w:spacing w:after="0" w:line="117" w:lineRule="exact"/>
        <w:rPr>
          <w:sz w:val="20"/>
          <w:szCs w:val="20"/>
          <w:color w:val="auto"/>
        </w:rPr>
      </w:pPr>
    </w:p>
    <w:p>
      <w:pPr>
        <w:ind w:left="380" w:right="720" w:hanging="372"/>
        <w:spacing w:after="0" w:line="282"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Current Report on Form 8-K (File No. 000-23621), filed with the U.S. Securities and Exchange Commission on May 15, 2025.</w:t>
      </w:r>
    </w:p>
    <w:p>
      <w:pPr>
        <w:spacing w:after="0" w:line="53" w:lineRule="exact"/>
        <w:rPr>
          <w:rFonts w:ascii="Times New Roman" w:cs="Times New Roman" w:eastAsia="Times New Roman" w:hAnsi="Times New Roman"/>
          <w:sz w:val="18"/>
          <w:szCs w:val="18"/>
          <w:color w:val="auto"/>
        </w:rPr>
      </w:pPr>
    </w:p>
    <w:p>
      <w:pPr>
        <w:ind w:left="380" w:right="720" w:hanging="372"/>
        <w:spacing w:after="0" w:line="282"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Current Report on Form 8-K (File No. 000-23621), filed with the U.S. Securities and Exchange Commission on November 4, 2026.</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185"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MKS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2026</w:t>
            </w:r>
          </w:p>
        </w:tc>
        <w:tc>
          <w:tcPr>
            <w:tcW w:w="23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Ramakumar Mayampurath</w:t>
            </w:r>
          </w:p>
        </w:tc>
      </w:tr>
      <w:tr>
        <w:trPr>
          <w:trHeight w:val="191"/>
        </w:trPr>
        <w:tc>
          <w:tcPr>
            <w:tcW w:w="35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Ramakumar Mayampurath</w:t>
            </w:r>
          </w:p>
        </w:tc>
      </w:tr>
      <w:tr>
        <w:trPr>
          <w:trHeight w:val="216"/>
        </w:trPr>
        <w:tc>
          <w:tcPr>
            <w:tcW w:w="35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35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621"/>
        </w:trPr>
        <w:tc>
          <w:tcPr>
            <w:tcW w:w="3540" w:type="dxa"/>
            <w:vAlign w:val="bottom"/>
          </w:tcPr>
          <w:p>
            <w:pPr>
              <w:spacing w:after="0"/>
              <w:rPr>
                <w:sz w:val="24"/>
                <w:szCs w:val="24"/>
                <w:color w:val="auto"/>
              </w:rPr>
            </w:pPr>
          </w:p>
        </w:tc>
        <w:tc>
          <w:tcPr>
            <w:tcW w:w="2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w:t>
            </w:r>
          </w:p>
        </w:tc>
        <w:tc>
          <w:tcPr>
            <w:tcW w:w="5380" w:type="dxa"/>
            <w:vAlign w:val="bottom"/>
          </w:tcPr>
          <w:p>
            <w:pPr>
              <w:spacing w:after="0"/>
              <w:rPr>
                <w:sz w:val="24"/>
                <w:szCs w:val="24"/>
                <w:color w:val="auto"/>
              </w:rPr>
            </w:pPr>
          </w:p>
        </w:tc>
      </w:tr>
      <w:tr>
        <w:trPr>
          <w:trHeight w:val="763"/>
        </w:trPr>
        <w:tc>
          <w:tcPr>
            <w:tcW w:w="354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0" w:name="page51"/>
    <w:bookmarkEnd w:id="50"/>
    <w:p>
      <w:pPr>
        <w:ind w:left="10120"/>
        <w:spacing w:after="0"/>
        <w:rPr>
          <w:sz w:val="20"/>
          <w:szCs w:val="20"/>
          <w:color w:val="auto"/>
        </w:rPr>
      </w:pPr>
      <w:r>
        <w:rPr>
          <w:rFonts w:ascii="Times New Roman" w:cs="Times New Roman" w:eastAsia="Times New Roman" w:hAnsi="Times New Roman"/>
          <w:sz w:val="18"/>
          <w:szCs w:val="18"/>
          <w:color w:val="auto"/>
        </w:rPr>
        <w:t>EXHIBIT 31.1</w:t>
      </w:r>
    </w:p>
    <w:p>
      <w:pPr>
        <w:spacing w:after="0" w:line="17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CERTIFICATION OF PRINCIPAL EXECUTIVE OFFICER</w:t>
      </w:r>
    </w:p>
    <w:p>
      <w:pPr>
        <w:spacing w:after="0" w:line="2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PURSUANT TO RULE 13a-14(a)/RULE 15d-14(a) OF THE</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SECURITIES EXCHANGE ACT OF 1934,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T.C. Lee, certify that:</w:t>
      </w:r>
    </w:p>
    <w:p>
      <w:pPr>
        <w:spacing w:after="0" w:line="117" w:lineRule="exact"/>
        <w:rPr>
          <w:sz w:val="20"/>
          <w:szCs w:val="20"/>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MKS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800" w:val="left"/>
        </w:tabs>
        <w:rPr>
          <w:sz w:val="20"/>
          <w:szCs w:val="20"/>
          <w:color w:val="auto"/>
        </w:rPr>
      </w:pPr>
      <w:r>
        <w:rPr>
          <w:rFonts w:ascii="Times New Roman" w:cs="Times New Roman" w:eastAsia="Times New Roman" w:hAnsi="Times New Roman"/>
          <w:sz w:val="18"/>
          <w:szCs w:val="18"/>
          <w:color w:val="auto"/>
        </w:rPr>
        <w:t>Dated: November 5, 2026</w:t>
      </w:r>
      <w:r>
        <w:rPr>
          <w:sz w:val="20"/>
          <w:szCs w:val="20"/>
          <w:color w:val="auto"/>
        </w:rPr>
        <w:tab/>
      </w:r>
      <w:r>
        <w:rPr>
          <w:rFonts w:ascii="Times New Roman" w:cs="Times New Roman" w:eastAsia="Times New Roman" w:hAnsi="Times New Roman"/>
          <w:sz w:val="18"/>
          <w:szCs w:val="18"/>
          <w:color w:val="auto"/>
        </w:rPr>
        <w:t>/s/ John T.C.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26035</wp:posOffset>
            </wp:positionV>
            <wp:extent cx="347154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3">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24"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John T.C. Lee</w:t>
      </w:r>
    </w:p>
    <w:p>
      <w:pPr>
        <w:spacing w:after="0" w:line="2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756285</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1" w:name="page52"/>
    <w:bookmarkEnd w:id="51"/>
    <w:p>
      <w:pPr>
        <w:ind w:left="10120"/>
        <w:spacing w:after="0"/>
        <w:rPr>
          <w:sz w:val="20"/>
          <w:szCs w:val="20"/>
          <w:color w:val="auto"/>
        </w:rPr>
      </w:pPr>
      <w:r>
        <w:rPr>
          <w:rFonts w:ascii="Times New Roman" w:cs="Times New Roman" w:eastAsia="Times New Roman" w:hAnsi="Times New Roman"/>
          <w:sz w:val="18"/>
          <w:szCs w:val="18"/>
          <w:color w:val="auto"/>
        </w:rPr>
        <w:t>EXHIBIT 31.2</w:t>
      </w:r>
    </w:p>
    <w:p>
      <w:pPr>
        <w:spacing w:after="0" w:line="17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CERTIFICATION OF PRINCIPAL FINANCIAL OFFICER</w:t>
      </w:r>
    </w:p>
    <w:p>
      <w:pPr>
        <w:spacing w:after="0" w:line="2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PURSUANT TO RULE 13a-14(a)/RULE 15d-14(a) OF THE</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SECURITIES EXCHANGE ACT OF 1934,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Ramakumar Mayampurath, certify that:</w:t>
      </w:r>
    </w:p>
    <w:p>
      <w:pPr>
        <w:spacing w:after="0" w:line="117" w:lineRule="exact"/>
        <w:rPr>
          <w:sz w:val="20"/>
          <w:szCs w:val="20"/>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MKS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780" w:val="left"/>
        </w:tabs>
        <w:rPr>
          <w:sz w:val="20"/>
          <w:szCs w:val="20"/>
          <w:color w:val="auto"/>
        </w:rPr>
      </w:pPr>
      <w:r>
        <w:rPr>
          <w:rFonts w:ascii="Times New Roman" w:cs="Times New Roman" w:eastAsia="Times New Roman" w:hAnsi="Times New Roman"/>
          <w:sz w:val="18"/>
          <w:szCs w:val="18"/>
          <w:color w:val="auto"/>
        </w:rPr>
        <w:t>Dated: November 5, 2026</w:t>
      </w:r>
      <w:r>
        <w:rPr>
          <w:sz w:val="20"/>
          <w:szCs w:val="20"/>
          <w:color w:val="auto"/>
        </w:rPr>
        <w:tab/>
      </w:r>
      <w:r>
        <w:rPr>
          <w:rFonts w:ascii="Times New Roman" w:cs="Times New Roman" w:eastAsia="Times New Roman" w:hAnsi="Times New Roman"/>
          <w:sz w:val="17"/>
          <w:szCs w:val="17"/>
          <w:color w:val="auto"/>
        </w:rPr>
        <w:t>/s/ Ramakumar Mayampurath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26035</wp:posOffset>
            </wp:positionV>
            <wp:extent cx="348869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5">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2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Ramakumar Mayampurath</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756285</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2" w:name="page53"/>
    <w:bookmarkEnd w:id="52"/>
    <w:p>
      <w:pPr>
        <w:ind w:left="10120"/>
        <w:spacing w:after="0"/>
        <w:rPr>
          <w:sz w:val="20"/>
          <w:szCs w:val="20"/>
          <w:color w:val="auto"/>
        </w:rPr>
      </w:pPr>
      <w:r>
        <w:rPr>
          <w:rFonts w:ascii="Times New Roman" w:cs="Times New Roman" w:eastAsia="Times New Roman" w:hAnsi="Times New Roman"/>
          <w:sz w:val="18"/>
          <w:szCs w:val="18"/>
          <w:color w:val="auto"/>
        </w:rPr>
        <w:t>EXHIBIT 32.1</w:t>
      </w:r>
    </w:p>
    <w:p>
      <w:pPr>
        <w:spacing w:after="0" w:line="1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CERTIFICATION OF CHIEF EXECUTIVE OFFICER AND CHIEF FINANCIAL OFFICER</w:t>
      </w:r>
    </w:p>
    <w:p>
      <w:pPr>
        <w:spacing w:after="0" w:line="1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1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1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25"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MKS Inc. (the "Company") for the period ended September 30, 2026 as filed with the Securities and Exchange Commission on the date hereof (the "Report"), the undersigned, John T.C. Lee, President and Chief Executive Officer of the Company, and Ramakumar Mayampurath, Executive Vice President and Chief Financial Officer of the Company, each hereby certifies, pursuant to 18 U.S.C. Section 1350, as adopted pursuant to Section 906 of the Sarbanes-Oxley Act of 2002, that, based on his knowledge:</w:t>
      </w:r>
    </w:p>
    <w:p>
      <w:pPr>
        <w:spacing w:after="0" w:line="207"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5, 2026</w:t>
            </w:r>
          </w:p>
        </w:tc>
        <w:tc>
          <w:tcPr>
            <w:tcW w:w="56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John T.C. Lee</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John T.C. Lee</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73"/>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5, 2026</w:t>
            </w:r>
          </w:p>
        </w:tc>
        <w:tc>
          <w:tcPr>
            <w:tcW w:w="56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Ramakumar Mayampurath</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Ramakumar Mayampurath</w:t>
            </w:r>
          </w:p>
        </w:tc>
      </w:tr>
      <w:tr>
        <w:trPr>
          <w:trHeight w:val="230"/>
        </w:trPr>
        <w:tc>
          <w:tcPr>
            <w:tcW w:w="56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3047365</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53" w:name="page54"/>
    <w:bookmarkEnd w:id="5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decimal"/>
      <w:start w:val="3"/>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decimal"/>
      <w:start w:val="4"/>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1)"/>
      <w:numFmt w:val="decimal"/>
      <w:start w:val="5"/>
    </w:lvl>
  </w:abstractNum>
  <w:abstractNum w:abstractNumId="9">
    <w:nsid w:val="628C895D"/>
    <w:multiLevelType w:val="hybridMultilevel"/>
    <w:lvl w:ilvl="0">
      <w:lvlJc w:val="left"/>
      <w:lvlText w:val="(%1)"/>
      <w:numFmt w:val="decimal"/>
      <w:start w:val="6"/>
    </w:lvl>
  </w:abstractNum>
  <w:abstractNum w:abstractNumId="10">
    <w:nsid w:val="333AB105"/>
    <w:multiLevelType w:val="hybridMultilevel"/>
    <w:lvl w:ilvl="0">
      <w:lvlJc w:val="left"/>
      <w:lvlText w:val="(%1)"/>
      <w:numFmt w:val="decimal"/>
      <w:start w:val="7"/>
    </w:lvl>
  </w:abstractNum>
  <w:abstractNum w:abstractNumId="11">
    <w:nsid w:val="721DA317"/>
    <w:multiLevelType w:val="hybridMultilevel"/>
    <w:lvl w:ilvl="0">
      <w:lvlJc w:val="left"/>
      <w:lvlText w:val="(%1)"/>
      <w:numFmt w:val="decimal"/>
      <w:start w:val="8"/>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1)"/>
      <w:numFmt w:val="decimal"/>
      <w:start w:val="9"/>
    </w:lvl>
  </w:abstractNum>
  <w:abstractNum w:abstractNumId="17">
    <w:nsid w:val="79838CB2"/>
    <w:multiLevelType w:val="hybridMultilevel"/>
    <w:lvl w:ilvl="0">
      <w:lvlJc w:val="left"/>
      <w:lvlText w:val="(%1)"/>
      <w:numFmt w:val="decimal"/>
      <w:start w:val="11"/>
    </w:lvl>
  </w:abstractNum>
  <w:abstractNum w:abstractNumId="18">
    <w:nsid w:val="4353D0CD"/>
    <w:multiLevelType w:val="hybridMultilevel"/>
    <w:lvl w:ilvl="0">
      <w:lvlJc w:val="left"/>
      <w:lvlText w:val="(%1)"/>
      <w:numFmt w:val="decimal"/>
      <w:start w:val="12"/>
    </w:lvl>
  </w:abstractNum>
  <w:abstractNum w:abstractNumId="19">
    <w:nsid w:val="B03E0C6"/>
    <w:multiLevelType w:val="hybridMultilevel"/>
    <w:lvl w:ilvl="0">
      <w:lvlJc w:val="left"/>
      <w:lvlText w:val="(%1)"/>
      <w:numFmt w:val="decimal"/>
      <w:start w:val="13"/>
    </w:lvl>
  </w:abstractNum>
  <w:abstractNum w:abstractNumId="20">
    <w:nsid w:val="189A769B"/>
    <w:multiLevelType w:val="hybridMultilevel"/>
    <w:lvl w:ilvl="0">
      <w:lvlJc w:val="left"/>
      <w:lvlText w:val="(%1)"/>
      <w:numFmt w:val="decimal"/>
      <w:start w:val="14"/>
    </w:lvl>
  </w:abstractNum>
  <w:abstractNum w:abstractNumId="21">
    <w:nsid w:val="54E49EB4"/>
    <w:multiLevelType w:val="hybridMultilevel"/>
    <w:lvl w:ilvl="0">
      <w:lvlJc w:val="left"/>
      <w:lvlText w:val="(%1)"/>
      <w:numFmt w:val="decimal"/>
      <w:start w:val="15"/>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decimal"/>
      <w:start w:val="16"/>
    </w:lvl>
  </w:abstractNum>
  <w:abstractNum w:abstractNumId="24">
    <w:nsid w:val="836C40E"/>
    <w:multiLevelType w:val="hybridMultilevel"/>
    <w:lvl w:ilvl="0">
      <w:lvlJc w:val="left"/>
      <w:lvlText w:val="(%1)"/>
      <w:numFmt w:val="decimal"/>
      <w:start w:val="17"/>
    </w:lvl>
  </w:abstractNum>
  <w:abstractNum w:abstractNumId="25">
    <w:nsid w:val="2901D82"/>
    <w:multiLevelType w:val="hybridMultilevel"/>
    <w:lvl w:ilvl="0">
      <w:lvlJc w:val="left"/>
      <w:lvlText w:val="(%1)"/>
      <w:numFmt w:val="decimal"/>
      <w:start w:val="18"/>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1)"/>
      <w:numFmt w:val="decimal"/>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9" Type="http://schemas.openxmlformats.org/officeDocument/2006/relationships/image" Target="media/image490.png"/><Relationship Id="rId500" Type="http://schemas.openxmlformats.org/officeDocument/2006/relationships/image" Target="media/image491.png"/><Relationship Id="rId501" Type="http://schemas.openxmlformats.org/officeDocument/2006/relationships/image" Target="media/image492.png"/><Relationship Id="rId502" Type="http://schemas.openxmlformats.org/officeDocument/2006/relationships/image" Target="media/image493.png"/><Relationship Id="rId503" Type="http://schemas.openxmlformats.org/officeDocument/2006/relationships/image" Target="media/image494.png"/><Relationship Id="rId504" Type="http://schemas.openxmlformats.org/officeDocument/2006/relationships/image" Target="media/image495.png"/><Relationship Id="rId505" Type="http://schemas.openxmlformats.org/officeDocument/2006/relationships/image" Target="media/image496.png"/><Relationship Id="rId506" Type="http://schemas.openxmlformats.org/officeDocument/2006/relationships/image" Target="media/image497.png"/><Relationship Id="rId507" Type="http://schemas.openxmlformats.org/officeDocument/2006/relationships/image" Target="media/image498.png"/><Relationship Id="rId497" Type="http://schemas.openxmlformats.org/officeDocument/2006/relationships/hyperlink" Target="https://www.sec.gov/Archives/edgar/data/1049502/000095017025072053/mksi-ex3_1.htm" TargetMode="External"/><Relationship Id="rId498" Type="http://schemas.openxmlformats.org/officeDocument/2006/relationships/hyperlink" Target="https://www.sec.gov/Archives/edgar/data/1049502/000119312526447410/mksi-ex3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2026-11-05T14:39:10Z</dcterms:created>
  <dcterms:modified xsi:type="dcterms:W3CDTF">2026-11-05T14:39:10Z</dcterms:modified>
</cp:coreProperties>
</file>