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form4.xml.htm"/>
      <w:bookmarkStart w:id="1" w:name="ksform4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Lee John Tseng-Chung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MKS INC.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MKS INC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MKSI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1"/>
        <w:gridCol w:w="897"/>
        <w:gridCol w:w="771"/>
        <w:gridCol w:w="596"/>
        <w:gridCol w:w="331"/>
        <w:gridCol w:w="1126"/>
        <w:gridCol w:w="407"/>
        <w:gridCol w:w="825"/>
        <w:gridCol w:w="1506"/>
        <w:gridCol w:w="938"/>
        <w:gridCol w:w="89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1,478.864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136,255.1307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678.581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136,933.7117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19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2,157.445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202.04</w:t>
            </w:r>
          </w:p>
        </w:tc>
        <w:tc>
          <w:tcPr>
            <w:tcW w:w="15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134,776.2667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8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96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8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1,478.864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1,478.864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83,349.257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678.581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678.581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82,670.676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the contingent right to receive one share of common stock of MKS Inc.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used to satisfy FICA taxes.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Portion of 2025 RSU Award accelerated to satisfy FICA taxes.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Portion of 2026 RSU Award accelerated to satisfy FICA taxes.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M. Kathryn Rickards,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4656" TargetMode="External"/><Relationship Id="rId5" Type="http://schemas.openxmlformats.org/officeDocument/2006/relationships/hyperlink" Target="http://www.sec.gov/cgi-bin/browse-edgar?action=getcompany&amp;CIK=00010495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3562</Characters>
  <CharactersWithSpaces>4113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