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McCarthy Michelle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MKS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 TECH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MKS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MKSI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&amp; Chief Accounting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ANDOVER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2,434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315.23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1.549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transaction was effected pursuant to a Rule 10b5-1 trading plan adopted by the reporting person on March 5,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James Kruger,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32461" TargetMode="External"/><Relationship Id="rId14" Type="http://schemas.openxmlformats.org/officeDocument/2006/relationships/hyperlink" Target="http://www.sec.gov/cgi-bin/browse-edgar?action=getcompany&amp;CIK=00010495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2026-06-08T09:54:39Z</dcterms:created>
  <dcterms:modified xsi:type="dcterms:W3CDTF">2026-06-08T09:54:39Z</dcterms:modified>
</cp:coreProperties>
</file>