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February 27,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MKS INSTRUMENTS,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3000" w:type="dxa"/>
            <w:vAlign w:val="bottom"/>
          </w:tcPr>
          <w:p>
            <w:pPr>
              <w:jc w:val="center"/>
              <w:ind w:right="600"/>
              <w:spacing w:after="0"/>
              <w:rPr>
                <w:sz w:val="20"/>
                <w:szCs w:val="20"/>
                <w:color w:val="auto"/>
              </w:rPr>
            </w:pPr>
            <w:r>
              <w:rPr>
                <w:rFonts w:ascii="Arial" w:cs="Arial" w:eastAsia="Arial" w:hAnsi="Arial"/>
                <w:sz w:val="18"/>
                <w:szCs w:val="18"/>
                <w:b w:val="1"/>
                <w:bCs w:val="1"/>
                <w:color w:val="auto"/>
                <w:w w:val="86"/>
              </w:rPr>
              <w:t>Massachusetts</w:t>
            </w:r>
          </w:p>
        </w:tc>
        <w:tc>
          <w:tcPr>
            <w:tcW w:w="3260" w:type="dxa"/>
            <w:vAlign w:val="bottom"/>
          </w:tcPr>
          <w:p>
            <w:pPr>
              <w:jc w:val="right"/>
              <w:ind w:right="1321"/>
              <w:spacing w:after="0"/>
              <w:rPr>
                <w:sz w:val="20"/>
                <w:szCs w:val="20"/>
                <w:color w:val="auto"/>
              </w:rPr>
            </w:pPr>
            <w:r>
              <w:rPr>
                <w:rFonts w:ascii="Arial" w:cs="Arial" w:eastAsia="Arial" w:hAnsi="Arial"/>
                <w:sz w:val="18"/>
                <w:szCs w:val="18"/>
                <w:b w:val="1"/>
                <w:bCs w:val="1"/>
                <w:color w:val="auto"/>
              </w:rPr>
              <w:t>000-23621</w:t>
            </w:r>
          </w:p>
        </w:tc>
        <w:tc>
          <w:tcPr>
            <w:tcW w:w="2040" w:type="dxa"/>
            <w:vAlign w:val="bottom"/>
          </w:tcPr>
          <w:p>
            <w:pPr>
              <w:jc w:val="right"/>
              <w:ind w:right="4"/>
              <w:spacing w:after="0"/>
              <w:rPr>
                <w:sz w:val="20"/>
                <w:szCs w:val="20"/>
                <w:color w:val="auto"/>
              </w:rPr>
            </w:pPr>
            <w:r>
              <w:rPr>
                <w:rFonts w:ascii="Arial" w:cs="Arial" w:eastAsia="Arial" w:hAnsi="Arial"/>
                <w:sz w:val="18"/>
                <w:szCs w:val="18"/>
                <w:b w:val="1"/>
                <w:bCs w:val="1"/>
                <w:color w:val="auto"/>
              </w:rPr>
              <w:t>04-2277512</w:t>
            </w:r>
          </w:p>
        </w:tc>
      </w:tr>
      <w:tr>
        <w:trPr>
          <w:trHeight w:val="149"/>
        </w:trPr>
        <w:tc>
          <w:tcPr>
            <w:tcW w:w="3000" w:type="dxa"/>
            <w:vAlign w:val="bottom"/>
          </w:tcPr>
          <w:p>
            <w:pPr>
              <w:jc w:val="center"/>
              <w:ind w:right="600"/>
              <w:spacing w:after="0"/>
              <w:rPr>
                <w:sz w:val="20"/>
                <w:szCs w:val="20"/>
                <w:color w:val="auto"/>
              </w:rPr>
            </w:pPr>
            <w:r>
              <w:rPr>
                <w:rFonts w:ascii="Arial" w:cs="Arial" w:eastAsia="Arial" w:hAnsi="Arial"/>
                <w:sz w:val="13"/>
                <w:szCs w:val="13"/>
                <w:b w:val="1"/>
                <w:bCs w:val="1"/>
                <w:color w:val="auto"/>
                <w:w w:val="95"/>
              </w:rPr>
              <w:t>(State or Other Jurisdiction</w:t>
            </w:r>
          </w:p>
        </w:tc>
        <w:tc>
          <w:tcPr>
            <w:tcW w:w="3260" w:type="dxa"/>
            <w:vAlign w:val="bottom"/>
          </w:tcPr>
          <w:p>
            <w:pPr>
              <w:jc w:val="center"/>
              <w:ind w:right="241"/>
              <w:spacing w:after="0"/>
              <w:rPr>
                <w:sz w:val="20"/>
                <w:szCs w:val="20"/>
                <w:color w:val="auto"/>
              </w:rPr>
            </w:pPr>
            <w:r>
              <w:rPr>
                <w:rFonts w:ascii="Arial" w:cs="Arial" w:eastAsia="Arial" w:hAnsi="Arial"/>
                <w:sz w:val="13"/>
                <w:szCs w:val="13"/>
                <w:b w:val="1"/>
                <w:bCs w:val="1"/>
                <w:color w:val="auto"/>
                <w:w w:val="95"/>
              </w:rPr>
              <w:t>(Commission File Number)</w:t>
            </w: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000" w:type="dxa"/>
            <w:vAlign w:val="bottom"/>
          </w:tcPr>
          <w:p>
            <w:pPr>
              <w:jc w:val="center"/>
              <w:ind w:right="600"/>
              <w:spacing w:after="0"/>
              <w:rPr>
                <w:sz w:val="20"/>
                <w:szCs w:val="20"/>
                <w:color w:val="auto"/>
              </w:rPr>
            </w:pPr>
            <w:r>
              <w:rPr>
                <w:rFonts w:ascii="Arial" w:cs="Arial" w:eastAsia="Arial" w:hAnsi="Arial"/>
                <w:sz w:val="13"/>
                <w:szCs w:val="13"/>
                <w:b w:val="1"/>
                <w:bCs w:val="1"/>
                <w:color w:val="auto"/>
                <w:w w:val="96"/>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Arial" w:cs="Arial" w:eastAsia="Arial" w:hAnsi="Arial"/>
                <w:sz w:val="13"/>
                <w:szCs w:val="13"/>
                <w:b w:val="1"/>
                <w:bCs w:val="1"/>
                <w:color w:val="auto"/>
                <w:w w:val="96"/>
              </w:rPr>
              <w:t>Identification No.)</w:t>
            </w:r>
          </w:p>
        </w:tc>
      </w:tr>
      <w:tr>
        <w:trPr>
          <w:trHeight w:val="428"/>
        </w:trPr>
        <w:tc>
          <w:tcPr>
            <w:tcW w:w="3000" w:type="dxa"/>
            <w:vAlign w:val="bottom"/>
          </w:tcPr>
          <w:p>
            <w:pPr>
              <w:jc w:val="center"/>
              <w:ind w:right="600"/>
              <w:spacing w:after="0"/>
              <w:rPr>
                <w:sz w:val="20"/>
                <w:szCs w:val="20"/>
                <w:color w:val="auto"/>
              </w:rPr>
            </w:pPr>
            <w:r>
              <w:rPr>
                <w:rFonts w:ascii="Arial" w:cs="Arial" w:eastAsia="Arial" w:hAnsi="Arial"/>
                <w:sz w:val="18"/>
                <w:szCs w:val="18"/>
                <w:b w:val="1"/>
                <w:bCs w:val="1"/>
                <w:color w:val="auto"/>
                <w:w w:val="89"/>
              </w:rPr>
              <w:t>2 Tech Drive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000" w:type="dxa"/>
            <w:vAlign w:val="bottom"/>
          </w:tcPr>
          <w:p>
            <w:pPr>
              <w:jc w:val="center"/>
              <w:ind w:right="620"/>
              <w:spacing w:after="0"/>
              <w:rPr>
                <w:sz w:val="20"/>
                <w:szCs w:val="20"/>
                <w:color w:val="auto"/>
              </w:rPr>
            </w:pPr>
            <w:r>
              <w:rPr>
                <w:rFonts w:ascii="Arial" w:cs="Arial" w:eastAsia="Arial" w:hAnsi="Arial"/>
                <w:sz w:val="18"/>
                <w:szCs w:val="18"/>
                <w:b w:val="1"/>
                <w:bCs w:val="1"/>
                <w:color w:val="auto"/>
                <w:w w:val="88"/>
              </w:rPr>
              <w:t>Suite 201</w:t>
            </w:r>
          </w:p>
        </w:tc>
        <w:tc>
          <w:tcPr>
            <w:tcW w:w="3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4"/>
        </w:trPr>
        <w:tc>
          <w:tcPr>
            <w:tcW w:w="3000" w:type="dxa"/>
            <w:vAlign w:val="bottom"/>
          </w:tcPr>
          <w:p>
            <w:pPr>
              <w:jc w:val="center"/>
              <w:ind w:right="600"/>
              <w:spacing w:after="0"/>
              <w:rPr>
                <w:sz w:val="20"/>
                <w:szCs w:val="20"/>
                <w:color w:val="auto"/>
              </w:rPr>
            </w:pPr>
            <w:r>
              <w:rPr>
                <w:rFonts w:ascii="Arial" w:cs="Arial" w:eastAsia="Arial" w:hAnsi="Arial"/>
                <w:sz w:val="18"/>
                <w:szCs w:val="18"/>
                <w:b w:val="1"/>
                <w:bCs w:val="1"/>
                <w:color w:val="auto"/>
                <w:w w:val="88"/>
              </w:rPr>
              <w:t>Andover, Massachusetts</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Arial" w:cs="Arial" w:eastAsia="Arial" w:hAnsi="Arial"/>
                <w:sz w:val="18"/>
                <w:szCs w:val="18"/>
                <w:b w:val="1"/>
                <w:bCs w:val="1"/>
                <w:color w:val="auto"/>
              </w:rPr>
              <w:t>01810</w:t>
            </w:r>
          </w:p>
        </w:tc>
      </w:tr>
      <w:tr>
        <w:trPr>
          <w:trHeight w:val="175"/>
        </w:trPr>
        <w:tc>
          <w:tcPr>
            <w:tcW w:w="3000" w:type="dxa"/>
            <w:vAlign w:val="bottom"/>
          </w:tcPr>
          <w:p>
            <w:pPr>
              <w:jc w:val="center"/>
              <w:ind w:right="600"/>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9"/>
              </w:rPr>
              <w:t>(Zip Code)</w:t>
            </w:r>
          </w:p>
        </w:tc>
      </w:tr>
    </w:tbl>
    <w:p>
      <w:pPr>
        <w:spacing w:after="0" w:line="200" w:lineRule="exact"/>
        <w:rPr>
          <w:sz w:val="24"/>
          <w:szCs w:val="24"/>
          <w:color w:val="auto"/>
        </w:rPr>
      </w:pP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978 645-5500</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255905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7920" w:type="dxa"/>
            <w:vAlign w:val="bottom"/>
            <w:gridSpan w:val="5"/>
          </w:tcPr>
          <w:p>
            <w:pPr>
              <w:ind w:left="100"/>
              <w:spacing w:after="0"/>
              <w:rPr>
                <w:sz w:val="20"/>
                <w:szCs w:val="20"/>
                <w:color w:val="auto"/>
              </w:rPr>
            </w:pPr>
            <w:r>
              <w:rPr>
                <w:rFonts w:ascii="Arial" w:cs="Arial" w:eastAsia="Arial" w:hAnsi="Arial"/>
                <w:sz w:val="18"/>
                <w:szCs w:val="18"/>
                <w:b w:val="1"/>
                <w:bCs w:val="1"/>
                <w:color w:val="auto"/>
              </w:rPr>
              <w:t>Securities registered pursuant to Section 12(b) of the Act:</w:t>
            </w:r>
          </w:p>
        </w:tc>
      </w:tr>
      <w:tr>
        <w:trPr>
          <w:trHeight w:val="360"/>
        </w:trPr>
        <w:tc>
          <w:tcPr>
            <w:tcW w:w="3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41"/>
        </w:trPr>
        <w:tc>
          <w:tcPr>
            <w:tcW w:w="3320" w:type="dxa"/>
            <w:vAlign w:val="bottom"/>
            <w:tcBorders>
              <w:bottom w:val="single" w:sz="8" w:color="auto"/>
            </w:tcBorders>
          </w:tcPr>
          <w:p>
            <w:pPr>
              <w:jc w:val="center"/>
              <w:ind w:left="890"/>
              <w:spacing w:after="0"/>
              <w:rPr>
                <w:sz w:val="20"/>
                <w:szCs w:val="20"/>
                <w:color w:val="auto"/>
              </w:rPr>
            </w:pPr>
            <w:r>
              <w:rPr>
                <w:rFonts w:ascii="Arial" w:cs="Arial" w:eastAsia="Arial" w:hAnsi="Arial"/>
                <w:sz w:val="18"/>
                <w:szCs w:val="18"/>
                <w:b w:val="1"/>
                <w:bCs w:val="1"/>
                <w:color w:val="auto"/>
                <w:w w:val="86"/>
              </w:rPr>
              <w:t>Title of each class</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320" w:type="dxa"/>
            <w:vAlign w:val="bottom"/>
          </w:tcPr>
          <w:p>
            <w:pPr>
              <w:jc w:val="center"/>
              <w:ind w:left="890"/>
              <w:spacing w:after="0"/>
              <w:rPr>
                <w:sz w:val="20"/>
                <w:szCs w:val="20"/>
                <w:color w:val="auto"/>
              </w:rPr>
            </w:pPr>
            <w:r>
              <w:rPr>
                <w:rFonts w:ascii="Arial" w:cs="Arial" w:eastAsia="Arial" w:hAnsi="Arial"/>
                <w:sz w:val="18"/>
                <w:szCs w:val="18"/>
                <w:color w:val="auto"/>
                <w:w w:val="90"/>
              </w:rPr>
              <w:t>Common Stock, no par value</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MKSI</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0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343535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6"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On February 27, 2023, MKS Instruments, Inc. announced its financial results for the quarter ended December 31, 2022. The full text of the press release is attached as Exhibit 99.1 to this Current Report on Form 8-K.</w:t>
      </w:r>
    </w:p>
    <w:p>
      <w:pPr>
        <w:spacing w:after="0" w:line="158"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 information in this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99.1 </w:t>
      </w:r>
      <w:r>
        <w:rPr>
          <w:rFonts w:ascii="Arial" w:cs="Arial" w:eastAsia="Arial" w:hAnsi="Arial"/>
          <w:sz w:val="16"/>
          <w:szCs w:val="16"/>
          <w:u w:val="single" w:color="auto"/>
          <w:color w:val="0000FF"/>
        </w:rPr>
        <w:t>Press Release dated February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-6985</wp:posOffset>
            </wp:positionV>
            <wp:extent cx="15938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9385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45" w:right="4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MKS Instruments,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tab/>
        <w:t>February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Seth H. Bagshaw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Seth H. Bagshaw</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Title: Executive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ind w:left="1004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216535</wp:posOffset>
            </wp:positionH>
            <wp:positionV relativeFrom="page">
              <wp:posOffset>234950</wp:posOffset>
            </wp:positionV>
            <wp:extent cx="925830" cy="419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925830" cy="419735"/>
                    </a:xfrm>
                    <a:prstGeom prst="rect">
                      <a:avLst/>
                    </a:prstGeom>
                    <a:noFill/>
                  </pic:spPr>
                </pic:pic>
              </a:graphicData>
            </a:graphic>
          </wp:anchor>
        </w:drawing>
        <w:t>EXHIBIT 99.1</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MKS Instruments Reports Fourth Quarter And Full-Year 2022 Financial Results</w:t>
      </w:r>
    </w:p>
    <w:p>
      <w:pPr>
        <w:spacing w:after="0" w:line="254" w:lineRule="exact"/>
        <w:rPr>
          <w:sz w:val="20"/>
          <w:szCs w:val="20"/>
          <w:color w:val="auto"/>
        </w:rPr>
      </w:pPr>
    </w:p>
    <w:p>
      <w:pPr>
        <w:ind w:left="760" w:hanging="378"/>
        <w:spacing w:after="0"/>
        <w:tabs>
          <w:tab w:leader="none" w:pos="760" w:val="left"/>
        </w:tabs>
        <w:numPr>
          <w:ilvl w:val="0"/>
          <w:numId w:val="2"/>
        </w:numPr>
        <w:rPr>
          <w:rFonts w:ascii="Arial" w:cs="Arial" w:eastAsia="Arial" w:hAnsi="Arial"/>
          <w:sz w:val="21"/>
          <w:szCs w:val="21"/>
          <w:color w:val="auto"/>
        </w:rPr>
      </w:pPr>
      <w:r>
        <w:rPr>
          <w:rFonts w:ascii="Arial" w:cs="Arial" w:eastAsia="Arial" w:hAnsi="Arial"/>
          <w:sz w:val="21"/>
          <w:szCs w:val="21"/>
          <w:b w:val="1"/>
          <w:bCs w:val="1"/>
          <w:i w:val="1"/>
          <w:iCs w:val="1"/>
          <w:color w:val="auto"/>
        </w:rPr>
        <w:t>Record quarterly revenue of $1.09 billion, up 42% year-over-year, exceeding the high-end of guidance</w:t>
      </w:r>
    </w:p>
    <w:p>
      <w:pPr>
        <w:spacing w:after="0" w:line="19" w:lineRule="exact"/>
        <w:rPr>
          <w:rFonts w:ascii="Arial" w:cs="Arial" w:eastAsia="Arial" w:hAnsi="Arial"/>
          <w:sz w:val="21"/>
          <w:szCs w:val="21"/>
          <w:color w:val="auto"/>
        </w:rPr>
      </w:pPr>
    </w:p>
    <w:p>
      <w:pPr>
        <w:ind w:left="760" w:right="340" w:hanging="378"/>
        <w:spacing w:after="0" w:line="230" w:lineRule="auto"/>
        <w:tabs>
          <w:tab w:leader="none" w:pos="760" w:val="left"/>
        </w:tabs>
        <w:numPr>
          <w:ilvl w:val="0"/>
          <w:numId w:val="2"/>
        </w:numPr>
        <w:rPr>
          <w:rFonts w:ascii="Arial" w:cs="Arial" w:eastAsia="Arial" w:hAnsi="Arial"/>
          <w:sz w:val="22"/>
          <w:szCs w:val="22"/>
          <w:color w:val="auto"/>
        </w:rPr>
      </w:pPr>
      <w:r>
        <w:rPr>
          <w:rFonts w:ascii="Arial" w:cs="Arial" w:eastAsia="Arial" w:hAnsi="Arial"/>
          <w:sz w:val="22"/>
          <w:szCs w:val="22"/>
          <w:b w:val="1"/>
          <w:bCs w:val="1"/>
          <w:i w:val="1"/>
          <w:iCs w:val="1"/>
          <w:color w:val="auto"/>
        </w:rPr>
        <w:t>Quarterly GAAP net income per diluted share of $0.81 and quarterly Non-GAAP net earnings per diluted share of $2.00, exceeding the high-end of guidance</w:t>
      </w:r>
    </w:p>
    <w:p>
      <w:pPr>
        <w:spacing w:after="0" w:line="1" w:lineRule="exact"/>
        <w:rPr>
          <w:rFonts w:ascii="Arial" w:cs="Arial" w:eastAsia="Arial" w:hAnsi="Arial"/>
          <w:sz w:val="22"/>
          <w:szCs w:val="22"/>
          <w:color w:val="auto"/>
        </w:rPr>
      </w:pPr>
    </w:p>
    <w:p>
      <w:pPr>
        <w:ind w:left="760" w:right="100" w:hanging="378"/>
        <w:spacing w:after="0" w:line="230" w:lineRule="auto"/>
        <w:tabs>
          <w:tab w:leader="none" w:pos="760" w:val="left"/>
        </w:tabs>
        <w:numPr>
          <w:ilvl w:val="0"/>
          <w:numId w:val="2"/>
        </w:numPr>
        <w:rPr>
          <w:rFonts w:ascii="Arial" w:cs="Arial" w:eastAsia="Arial" w:hAnsi="Arial"/>
          <w:sz w:val="22"/>
          <w:szCs w:val="22"/>
          <w:color w:val="auto"/>
        </w:rPr>
      </w:pPr>
      <w:r>
        <w:rPr>
          <w:rFonts w:ascii="Arial" w:cs="Arial" w:eastAsia="Arial" w:hAnsi="Arial"/>
          <w:sz w:val="22"/>
          <w:szCs w:val="22"/>
          <w:b w:val="1"/>
          <w:bCs w:val="1"/>
          <w:i w:val="1"/>
          <w:iCs w:val="1"/>
          <w:color w:val="auto"/>
        </w:rPr>
        <w:t>Quarterly GAAP net income of $54 million and quarterly Adjusted EBITDA of $282 million, exceeding the high-end of guidance</w:t>
      </w:r>
    </w:p>
    <w:p>
      <w:pPr>
        <w:spacing w:after="0" w:line="1" w:lineRule="exact"/>
        <w:rPr>
          <w:rFonts w:ascii="Arial" w:cs="Arial" w:eastAsia="Arial" w:hAnsi="Arial"/>
          <w:sz w:val="22"/>
          <w:szCs w:val="22"/>
          <w:color w:val="auto"/>
        </w:rPr>
      </w:pPr>
    </w:p>
    <w:p>
      <w:pPr>
        <w:ind w:left="760" w:hanging="378"/>
        <w:spacing w:after="0" w:line="230" w:lineRule="auto"/>
        <w:tabs>
          <w:tab w:leader="none" w:pos="760" w:val="left"/>
        </w:tabs>
        <w:numPr>
          <w:ilvl w:val="0"/>
          <w:numId w:val="2"/>
        </w:numPr>
        <w:rPr>
          <w:rFonts w:ascii="Arial" w:cs="Arial" w:eastAsia="Arial" w:hAnsi="Arial"/>
          <w:sz w:val="22"/>
          <w:szCs w:val="22"/>
          <w:color w:val="auto"/>
        </w:rPr>
      </w:pPr>
      <w:r>
        <w:rPr>
          <w:rFonts w:ascii="Arial" w:cs="Arial" w:eastAsia="Arial" w:hAnsi="Arial"/>
          <w:sz w:val="22"/>
          <w:szCs w:val="22"/>
          <w:b w:val="1"/>
          <w:bCs w:val="1"/>
          <w:i w:val="1"/>
          <w:iCs w:val="1"/>
          <w:color w:val="auto"/>
        </w:rPr>
        <w:t>Quarterly operating cash flow of $184 million and free cash flow of $130 million</w:t>
      </w:r>
    </w:p>
    <w:p>
      <w:pPr>
        <w:ind w:left="760" w:hanging="378"/>
        <w:spacing w:after="0"/>
        <w:tabs>
          <w:tab w:leader="none" w:pos="760" w:val="left"/>
        </w:tabs>
        <w:numPr>
          <w:ilvl w:val="0"/>
          <w:numId w:val="2"/>
        </w:numPr>
        <w:rPr>
          <w:rFonts w:ascii="Arial" w:cs="Arial" w:eastAsia="Arial" w:hAnsi="Arial"/>
          <w:sz w:val="22"/>
          <w:szCs w:val="22"/>
          <w:color w:val="auto"/>
        </w:rPr>
      </w:pPr>
      <w:r>
        <w:rPr>
          <w:rFonts w:ascii="Arial" w:cs="Arial" w:eastAsia="Arial" w:hAnsi="Arial"/>
          <w:sz w:val="22"/>
          <w:szCs w:val="22"/>
          <w:b w:val="1"/>
          <w:bCs w:val="1"/>
          <w:i w:val="1"/>
          <w:iCs w:val="1"/>
          <w:color w:val="auto"/>
        </w:rPr>
        <w:t>Record annual revenue of $3.55 billion, up 20% year-over-year</w:t>
      </w:r>
    </w:p>
    <w:p>
      <w:pPr>
        <w:spacing w:after="0" w:line="29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Andover, Mass, Feb. 27, 2023 -- MKS Instruments, Inc. (NASDAQ: MKSI), a global provider of technologies that transform our world, today reported fourth quarter and full year 2022 financial results. The Company also announced that it will be filing a Form 12b-25 with the SEC today, as it requires additional time to file its Form 10-K for the year ended December 31, 2022 due to the ransomware event it identified on February 3, 2023.</w:t>
      </w:r>
    </w:p>
    <w:p>
      <w:pPr>
        <w:spacing w:after="0" w:line="77" w:lineRule="exact"/>
        <w:rPr>
          <w:sz w:val="20"/>
          <w:szCs w:val="20"/>
          <w:color w:val="auto"/>
        </w:rPr>
      </w:pPr>
    </w:p>
    <w:p>
      <w:pPr>
        <w:jc w:val="both"/>
        <w:ind w:right="200" w:firstLine="374"/>
        <w:spacing w:after="0" w:line="257" w:lineRule="auto"/>
        <w:rPr>
          <w:sz w:val="20"/>
          <w:szCs w:val="20"/>
          <w:color w:val="auto"/>
        </w:rPr>
      </w:pPr>
      <w:r>
        <w:rPr>
          <w:rFonts w:ascii="Arial" w:cs="Arial" w:eastAsia="Arial" w:hAnsi="Arial"/>
          <w:sz w:val="21"/>
          <w:szCs w:val="21"/>
          <w:color w:val="auto"/>
        </w:rPr>
        <w:t>“Fourth quarter revenue and Non-GAAP EPS exceeded the high-end of our guidance range, capping an important year for MKS in which we firmly established the company as a foundational technology solutions provider focused on the core building blocks of advanced electronic devices,” said John T.C. Lee, President and Chief Executive Officer.</w:t>
      </w:r>
    </w:p>
    <w:p>
      <w:pPr>
        <w:spacing w:after="0" w:line="61" w:lineRule="exact"/>
        <w:rPr>
          <w:sz w:val="20"/>
          <w:szCs w:val="20"/>
          <w:color w:val="auto"/>
        </w:rPr>
      </w:pPr>
    </w:p>
    <w:p>
      <w:pPr>
        <w:ind w:right="120" w:firstLine="374"/>
        <w:spacing w:after="0" w:line="236" w:lineRule="auto"/>
        <w:rPr>
          <w:sz w:val="20"/>
          <w:szCs w:val="20"/>
          <w:color w:val="auto"/>
        </w:rPr>
      </w:pPr>
      <w:r>
        <w:rPr>
          <w:rFonts w:ascii="Arial" w:cs="Arial" w:eastAsia="Arial" w:hAnsi="Arial"/>
          <w:sz w:val="22"/>
          <w:szCs w:val="22"/>
          <w:color w:val="auto"/>
        </w:rPr>
        <w:t>Mr. Lee added, “We are well into the recovery phase of our manufacturing and service operations following the ransomware incident identified on February 3rd, and we expect these operations will be restored over the coming weeks. I am very thankful for our dedicated employees who have worked tirelessly to help bring interrupted systems back online. Our team is focused on making up for lost time, delivering on our commitments and meeting the needs of our customers, whose support during the past weeks we’ve greatly appreciated.”</w:t>
      </w:r>
    </w:p>
    <w:p>
      <w:pPr>
        <w:spacing w:after="0" w:line="79" w:lineRule="exact"/>
        <w:rPr>
          <w:sz w:val="20"/>
          <w:szCs w:val="20"/>
          <w:color w:val="auto"/>
        </w:rPr>
      </w:pPr>
    </w:p>
    <w:p>
      <w:pPr>
        <w:ind w:right="260" w:firstLine="374"/>
        <w:spacing w:after="0"/>
        <w:rPr>
          <w:sz w:val="20"/>
          <w:szCs w:val="20"/>
          <w:color w:val="auto"/>
        </w:rPr>
      </w:pPr>
      <w:r>
        <w:rPr>
          <w:rFonts w:ascii="Arial" w:cs="Arial" w:eastAsia="Arial" w:hAnsi="Arial"/>
          <w:sz w:val="22"/>
          <w:szCs w:val="22"/>
          <w:color w:val="auto"/>
        </w:rPr>
        <w:t>“We delivered strong revenue and profitability in the fourth quarter as a result of solid operational execution,” said Seth H. Bagshaw, Executive Vice President and Chief Financial Officer. “We also generated strong free cash flow in the quarter, as evidenced by a $100 million voluntary term loan prepayment made in December.”</w:t>
      </w:r>
    </w:p>
    <w:p>
      <w:pPr>
        <w:spacing w:after="0" w:line="78" w:lineRule="exact"/>
        <w:rPr>
          <w:sz w:val="20"/>
          <w:szCs w:val="20"/>
          <w:color w:val="auto"/>
        </w:rPr>
      </w:pPr>
    </w:p>
    <w:p>
      <w:pPr>
        <w:ind w:right="140" w:firstLine="374"/>
        <w:spacing w:after="0" w:line="250" w:lineRule="auto"/>
        <w:rPr>
          <w:sz w:val="20"/>
          <w:szCs w:val="20"/>
          <w:color w:val="auto"/>
        </w:rPr>
      </w:pPr>
      <w:r>
        <w:rPr>
          <w:rFonts w:ascii="Arial" w:cs="Arial" w:eastAsia="Arial" w:hAnsi="Arial"/>
          <w:sz w:val="22"/>
          <w:szCs w:val="22"/>
          <w:color w:val="auto"/>
        </w:rPr>
        <w:t>Mr. Bagshaw added, “We are looking forward to returning to solid growth and profitability as our business normalizes, with a focus on driving attractive gross margins associated with our proprietary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4" w:name="page5"/>
    <w:bookmarkEnd w:id="4"/>
    <w:p>
      <w:pPr>
        <w:ind w:right="600"/>
        <w:spacing w:after="0" w:line="250" w:lineRule="auto"/>
        <w:rPr>
          <w:sz w:val="20"/>
          <w:szCs w:val="20"/>
          <w:color w:val="auto"/>
        </w:rPr>
      </w:pPr>
      <w:r>
        <w:rPr>
          <w:rFonts w:ascii="Arial" w:cs="Arial" w:eastAsia="Arial" w:hAnsi="Arial"/>
          <w:sz w:val="22"/>
          <w:szCs w:val="22"/>
          <w:color w:val="auto"/>
        </w:rPr>
        <w:t>high-value solutions, disciplined investment in the growth of our business, and extending our long-standing track record of accelerated de-levering following an acquisition.”</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2023 Outlook</w:t>
      </w:r>
    </w:p>
    <w:p>
      <w:pPr>
        <w:spacing w:after="0" w:line="104" w:lineRule="exact"/>
        <w:rPr>
          <w:sz w:val="20"/>
          <w:szCs w:val="20"/>
          <w:color w:val="auto"/>
        </w:rPr>
      </w:pPr>
    </w:p>
    <w:p>
      <w:pPr>
        <w:ind w:right="220" w:firstLine="374"/>
        <w:spacing w:after="0" w:line="257" w:lineRule="auto"/>
        <w:rPr>
          <w:sz w:val="20"/>
          <w:szCs w:val="20"/>
          <w:color w:val="auto"/>
        </w:rPr>
      </w:pPr>
      <w:r>
        <w:rPr>
          <w:rFonts w:ascii="Arial" w:cs="Arial" w:eastAsia="Arial" w:hAnsi="Arial"/>
          <w:sz w:val="21"/>
          <w:szCs w:val="21"/>
          <w:color w:val="auto"/>
        </w:rPr>
        <w:t>The Company anticipates the previously announced ransomware incident identified on February 3, 2023 to have a material impact on the Company's first quarter results. The full scope of the costs and related impacts of the incident has not yet been determined. As a result, the Company will not provide its usual first quarter guidance at this time.</w:t>
      </w:r>
    </w:p>
    <w:p>
      <w:pPr>
        <w:spacing w:after="0" w:line="61" w:lineRule="exact"/>
        <w:rPr>
          <w:sz w:val="20"/>
          <w:szCs w:val="20"/>
          <w:color w:val="auto"/>
        </w:rPr>
      </w:pPr>
    </w:p>
    <w:p>
      <w:pPr>
        <w:ind w:right="40" w:firstLine="374"/>
        <w:spacing w:after="0" w:line="250" w:lineRule="auto"/>
        <w:rPr>
          <w:sz w:val="20"/>
          <w:szCs w:val="20"/>
          <w:color w:val="auto"/>
        </w:rPr>
      </w:pPr>
      <w:r>
        <w:rPr>
          <w:rFonts w:ascii="Arial" w:cs="Arial" w:eastAsia="Arial" w:hAnsi="Arial"/>
          <w:sz w:val="22"/>
          <w:szCs w:val="22"/>
          <w:color w:val="auto"/>
        </w:rPr>
        <w:t>Prior to the ransomware event, the Company expected revenue in the first quarter of approximately $1 billion. The Company currently estimates the impact from the incident on first quarter revenue to be at least $200 million.</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The Company expects to resume its normal guidance practice for the second quarter.</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Details</w:t>
      </w:r>
    </w:p>
    <w:p>
      <w:pPr>
        <w:spacing w:after="0" w:line="104" w:lineRule="exact"/>
        <w:rPr>
          <w:sz w:val="20"/>
          <w:szCs w:val="20"/>
          <w:color w:val="auto"/>
        </w:rPr>
      </w:pPr>
    </w:p>
    <w:p>
      <w:pPr>
        <w:ind w:firstLine="374"/>
        <w:spacing w:after="0" w:line="282" w:lineRule="auto"/>
        <w:rPr>
          <w:sz w:val="20"/>
          <w:szCs w:val="20"/>
          <w:color w:val="auto"/>
        </w:rPr>
      </w:pPr>
      <w:r>
        <w:rPr>
          <w:rFonts w:ascii="Arial" w:cs="Arial" w:eastAsia="Arial" w:hAnsi="Arial"/>
          <w:sz w:val="19"/>
          <w:szCs w:val="19"/>
          <w:color w:val="auto"/>
        </w:rPr>
        <w:t>A conference call with management will be held on Tuesday, February 28, 2023 at 8:30 a.m. (Eastern Time). To participate in the call by phone, participants should visit the Investor Relations section of MKS' website at investor.mks.com and click on Events &amp; Presentations, where you will be able to register online and receive dial-in details. We encourage participants to register and dial in to the conference call at least 15 minutes before the start of the call to ensure a timely connection. A live and archived webcast and related presentation materials will be available on the MKS Investor Relations webpage at https://investor.mks.com/.</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MKS Instruments</w:t>
      </w:r>
    </w:p>
    <w:p>
      <w:pPr>
        <w:spacing w:after="0" w:line="104" w:lineRule="exact"/>
        <w:rPr>
          <w:sz w:val="20"/>
          <w:szCs w:val="20"/>
          <w:color w:val="auto"/>
        </w:rPr>
      </w:pPr>
    </w:p>
    <w:p>
      <w:pPr>
        <w:ind w:right="100" w:firstLine="374"/>
        <w:spacing w:after="0" w:line="275" w:lineRule="auto"/>
        <w:rPr>
          <w:sz w:val="20"/>
          <w:szCs w:val="20"/>
          <w:color w:val="auto"/>
        </w:rPr>
      </w:pPr>
      <w:r>
        <w:rPr>
          <w:rFonts w:ascii="Arial" w:cs="Arial" w:eastAsia="Arial" w:hAnsi="Arial"/>
          <w:sz w:val="19"/>
          <w:szCs w:val="19"/>
          <w:color w:val="auto"/>
        </w:rPr>
        <w:t>MKS Instruments enables technologies that transform our world. We deliver foundational technology solutions to leading edge semiconductor manufacturing, electronics and packaging, and specialty industrial applications. We apply our broad science and engineering capabilities to create instruments, subsystems, systems, process control solutions and specialty chemicals technology that improve process performance, optimize productivity and enable unique innovations for many of the world's leading technology and industrial companies. Our solutions are critical to addressing the challenges of miniaturization and complexity in advanced device manufacturing by enabling increased power, speed, feature enhancement, and optimized connectivity. Our solutions are also critical to addressing ever-increasing performance requirements across a wide array of specialty industrial applications. Additional information can be found at www.mks.com.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169545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2" w:right="35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Use of Non-GAAP Financial Results</w:t>
      </w:r>
    </w:p>
    <w:p>
      <w:pPr>
        <w:spacing w:after="0" w:line="104" w:lineRule="exact"/>
        <w:rPr>
          <w:sz w:val="20"/>
          <w:szCs w:val="20"/>
          <w:color w:val="auto"/>
        </w:rPr>
      </w:pPr>
    </w:p>
    <w:p>
      <w:pPr>
        <w:ind w:firstLine="374"/>
        <w:spacing w:after="0" w:line="279" w:lineRule="auto"/>
        <w:rPr>
          <w:sz w:val="20"/>
          <w:szCs w:val="20"/>
          <w:color w:val="auto"/>
        </w:rPr>
      </w:pPr>
      <w:r>
        <w:rPr>
          <w:rFonts w:ascii="Arial" w:cs="Arial" w:eastAsia="Arial" w:hAnsi="Arial"/>
          <w:sz w:val="19"/>
          <w:szCs w:val="19"/>
          <w:color w:val="auto"/>
        </w:rPr>
        <w:t>This press release includes financial measures that are not in accordance with U.S. generally accepted accounting principles (“Non-GAAP financial measures”). These Non-GAAP financial measures should be viewed in addition to, and not as a substitute for, MKS' reported results under U.S. generally accepted accounting principles (“GAAP”), and may be different from Non-GAAP financial measures used by other companies. In addition, these Non-GAAP financial measures are not based on any comprehensive set of accounting rules or principles. MKS management believes the presentation of these Non-GAAP financial measures is useful to investors for comparing prior periods and analyzing ongoing business trends and operating results.</w:t>
      </w:r>
    </w:p>
    <w:p>
      <w:pPr>
        <w:spacing w:after="0" w:line="42" w:lineRule="exact"/>
        <w:rPr>
          <w:sz w:val="20"/>
          <w:szCs w:val="20"/>
          <w:color w:val="auto"/>
        </w:rPr>
      </w:pPr>
    </w:p>
    <w:p>
      <w:pPr>
        <w:ind w:right="20" w:firstLine="374"/>
        <w:spacing w:after="0"/>
        <w:rPr>
          <w:sz w:val="20"/>
          <w:szCs w:val="20"/>
          <w:color w:val="auto"/>
        </w:rPr>
      </w:pPr>
      <w:r>
        <w:rPr>
          <w:rFonts w:ascii="Arial" w:cs="Arial" w:eastAsia="Arial" w:hAnsi="Arial"/>
          <w:sz w:val="22"/>
          <w:szCs w:val="22"/>
          <w:color w:val="auto"/>
        </w:rPr>
        <w:t>For further information regarding these Non-GAAP financial measures, please refer to the tables presenting reconciliations of our Non-GAAP results to our GAAP results and the “Notes on Our Non-GAAP Financial Information”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6" w:name="page7"/>
    <w:bookmarkEnd w:id="6"/>
    <w:p>
      <w:pPr>
        <w:jc w:val="center"/>
        <w:ind w:left="360"/>
        <w:spacing w:after="0"/>
        <w:rPr>
          <w:sz w:val="20"/>
          <w:szCs w:val="20"/>
          <w:color w:val="auto"/>
        </w:rPr>
      </w:pPr>
      <w:r>
        <w:rPr>
          <w:rFonts w:ascii="Arial" w:cs="Arial" w:eastAsia="Arial" w:hAnsi="Arial"/>
          <w:sz w:val="22"/>
          <w:szCs w:val="22"/>
          <w:b w:val="1"/>
          <w:bCs w:val="1"/>
          <w:color w:val="auto"/>
        </w:rPr>
        <w:t>Selected GAAP and Non-GAAP Financial Measures</w:t>
      </w:r>
    </w:p>
    <w:p>
      <w:pPr>
        <w:spacing w:after="0" w:line="14" w:lineRule="exact"/>
        <w:rPr>
          <w:sz w:val="20"/>
          <w:szCs w:val="20"/>
          <w:color w:val="auto"/>
        </w:rPr>
      </w:pPr>
    </w:p>
    <w:p>
      <w:pPr>
        <w:jc w:val="center"/>
        <w:ind w:left="360"/>
        <w:spacing w:after="0"/>
        <w:rPr>
          <w:sz w:val="20"/>
          <w:szCs w:val="20"/>
          <w:color w:val="auto"/>
        </w:rPr>
      </w:pPr>
      <w:r>
        <w:rPr>
          <w:rFonts w:ascii="Arial" w:cs="Arial" w:eastAsia="Arial" w:hAnsi="Arial"/>
          <w:sz w:val="22"/>
          <w:szCs w:val="22"/>
          <w:b w:val="1"/>
          <w:bCs w:val="1"/>
          <w:color w:val="auto"/>
        </w:rPr>
        <w:t>(In millions,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9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20"/>
                <w:szCs w:val="20"/>
                <w:b w:val="1"/>
                <w:bCs w:val="1"/>
                <w:color w:val="auto"/>
                <w:w w:val="96"/>
              </w:rPr>
              <w:t>Quarter</w:t>
            </w: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b w:val="1"/>
                <w:bCs w:val="1"/>
                <w:color w:val="auto"/>
              </w:rPr>
              <w:t>Full Year</w:t>
            </w: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5"/>
        </w:trPr>
        <w:tc>
          <w:tcPr>
            <w:tcW w:w="4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20"/>
                <w:szCs w:val="20"/>
                <w:b w:val="1"/>
                <w:bCs w:val="1"/>
                <w:color w:val="auto"/>
                <w:w w:val="93"/>
              </w:rPr>
              <w:t>Q4 2022</w:t>
            </w:r>
          </w:p>
        </w:tc>
        <w:tc>
          <w:tcPr>
            <w:tcW w:w="140" w:type="dxa"/>
            <w:vAlign w:val="bottom"/>
          </w:tcPr>
          <w:p>
            <w:pPr>
              <w:spacing w:after="0"/>
              <w:rPr>
                <w:sz w:val="22"/>
                <w:szCs w:val="22"/>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20"/>
                <w:szCs w:val="20"/>
                <w:b w:val="1"/>
                <w:bCs w:val="1"/>
                <w:color w:val="auto"/>
                <w:w w:val="93"/>
              </w:rPr>
              <w:t>Q3 2022</w:t>
            </w:r>
          </w:p>
        </w:tc>
        <w:tc>
          <w:tcPr>
            <w:tcW w:w="140" w:type="dxa"/>
            <w:vAlign w:val="bottom"/>
          </w:tcPr>
          <w:p>
            <w:pPr>
              <w:spacing w:after="0"/>
              <w:rPr>
                <w:sz w:val="22"/>
                <w:szCs w:val="22"/>
                <w:color w:val="auto"/>
              </w:rPr>
            </w:pPr>
          </w:p>
        </w:tc>
        <w:tc>
          <w:tcPr>
            <w:tcW w:w="900" w:type="dxa"/>
            <w:vAlign w:val="bottom"/>
          </w:tcPr>
          <w:p>
            <w:pPr>
              <w:jc w:val="right"/>
              <w:ind w:right="61"/>
              <w:spacing w:after="0"/>
              <w:rPr>
                <w:sz w:val="20"/>
                <w:szCs w:val="20"/>
                <w:color w:val="auto"/>
              </w:rPr>
            </w:pPr>
            <w:r>
              <w:rPr>
                <w:rFonts w:ascii="Arial" w:cs="Arial" w:eastAsia="Arial" w:hAnsi="Arial"/>
                <w:sz w:val="20"/>
                <w:szCs w:val="20"/>
                <w:b w:val="1"/>
                <w:bCs w:val="1"/>
                <w:color w:val="auto"/>
                <w:w w:val="93"/>
              </w:rPr>
              <w:t>Q4 2021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221"/>
              <w:spacing w:after="0"/>
              <w:rPr>
                <w:sz w:val="20"/>
                <w:szCs w:val="20"/>
                <w:color w:val="auto"/>
              </w:rPr>
            </w:pPr>
            <w:r>
              <w:rPr>
                <w:rFonts w:ascii="Arial" w:cs="Arial" w:eastAsia="Arial" w:hAnsi="Arial"/>
                <w:sz w:val="20"/>
                <w:szCs w:val="20"/>
                <w:b w:val="1"/>
                <w:bCs w:val="1"/>
                <w:color w:val="auto"/>
              </w:rPr>
              <w:t>2022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221"/>
              <w:spacing w:after="0"/>
              <w:rPr>
                <w:sz w:val="20"/>
                <w:szCs w:val="20"/>
                <w:color w:val="auto"/>
              </w:rPr>
            </w:pPr>
            <w:r>
              <w:rPr>
                <w:rFonts w:ascii="Arial" w:cs="Arial" w:eastAsia="Arial" w:hAnsi="Arial"/>
                <w:sz w:val="20"/>
                <w:szCs w:val="20"/>
                <w:b w:val="1"/>
                <w:bCs w:val="1"/>
                <w:color w:val="auto"/>
                <w:w w:val="89"/>
              </w:rPr>
              <w:t>2021</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4980" w:type="dxa"/>
            <w:vAlign w:val="bottom"/>
            <w:shd w:val="clear" w:color="auto" w:fill="CFF0FC"/>
          </w:tcPr>
          <w:p>
            <w:pPr>
              <w:ind w:left="20"/>
              <w:spacing w:after="0"/>
              <w:rPr>
                <w:sz w:val="20"/>
                <w:szCs w:val="20"/>
                <w:color w:val="auto"/>
              </w:rPr>
            </w:pPr>
            <w:r>
              <w:rPr>
                <w:rFonts w:ascii="Arial" w:cs="Arial" w:eastAsia="Arial" w:hAnsi="Arial"/>
                <w:sz w:val="20"/>
                <w:szCs w:val="20"/>
                <w:b w:val="1"/>
                <w:bCs w:val="1"/>
                <w:color w:val="auto"/>
              </w:rPr>
              <w:t>Net revenues</w:t>
            </w:r>
          </w:p>
        </w:tc>
        <w:tc>
          <w:tcPr>
            <w:tcW w:w="14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56"/>
        </w:trPr>
        <w:tc>
          <w:tcPr>
            <w:tcW w:w="4980" w:type="dxa"/>
            <w:vAlign w:val="bottom"/>
          </w:tcPr>
          <w:p>
            <w:pPr>
              <w:ind w:left="20"/>
              <w:spacing w:after="0"/>
              <w:rPr>
                <w:sz w:val="20"/>
                <w:szCs w:val="20"/>
                <w:color w:val="auto"/>
              </w:rPr>
            </w:pPr>
            <w:r>
              <w:rPr>
                <w:rFonts w:ascii="Arial" w:cs="Arial" w:eastAsia="Arial" w:hAnsi="Arial"/>
                <w:sz w:val="20"/>
                <w:szCs w:val="20"/>
                <w:color w:val="auto"/>
              </w:rPr>
              <w:t>Semiconductor</w:t>
            </w:r>
          </w:p>
        </w:tc>
        <w:tc>
          <w:tcPr>
            <w:tcW w:w="14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20"/>
                <w:szCs w:val="20"/>
                <w:b w:val="1"/>
                <w:bCs w:val="1"/>
                <w:color w:val="auto"/>
              </w:rPr>
              <w:t>503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536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495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jc w:val="right"/>
              <w:ind w:right="21"/>
              <w:spacing w:after="0"/>
              <w:rPr>
                <w:sz w:val="20"/>
                <w:szCs w:val="20"/>
                <w:color w:val="auto"/>
              </w:rPr>
            </w:pPr>
            <w:r>
              <w:rPr>
                <w:rFonts w:ascii="Arial" w:cs="Arial" w:eastAsia="Arial" w:hAnsi="Arial"/>
                <w:sz w:val="20"/>
                <w:szCs w:val="20"/>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2,041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1,825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7"/>
        </w:trPr>
        <w:tc>
          <w:tcPr>
            <w:tcW w:w="4980" w:type="dxa"/>
            <w:vAlign w:val="bottom"/>
            <w:shd w:val="clear" w:color="auto" w:fill="CFF0FC"/>
          </w:tcPr>
          <w:p>
            <w:pPr>
              <w:ind w:left="20"/>
              <w:spacing w:after="0"/>
              <w:rPr>
                <w:sz w:val="20"/>
                <w:szCs w:val="20"/>
                <w:color w:val="auto"/>
              </w:rPr>
            </w:pPr>
            <w:r>
              <w:rPr>
                <w:rFonts w:ascii="Arial" w:cs="Arial" w:eastAsia="Arial" w:hAnsi="Arial"/>
                <w:sz w:val="20"/>
                <w:szCs w:val="20"/>
                <w:color w:val="auto"/>
              </w:rPr>
              <w:t>Electronics &amp; Packaging</w:t>
            </w:r>
          </w:p>
        </w:tc>
        <w:tc>
          <w:tcPr>
            <w:tcW w:w="1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266</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166</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73</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541</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01"/>
              <w:spacing w:after="0"/>
              <w:rPr>
                <w:sz w:val="20"/>
                <w:szCs w:val="20"/>
                <w:color w:val="auto"/>
              </w:rPr>
            </w:pPr>
            <w:r>
              <w:rPr>
                <w:rFonts w:ascii="Arial" w:cs="Arial" w:eastAsia="Arial" w:hAnsi="Arial"/>
                <w:sz w:val="20"/>
                <w:szCs w:val="20"/>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344</w:t>
            </w:r>
          </w:p>
        </w:tc>
        <w:tc>
          <w:tcPr>
            <w:tcW w:w="100" w:type="dxa"/>
            <w:vAlign w:val="bottom"/>
            <w:shd w:val="clear" w:color="auto" w:fill="CFF0FC"/>
          </w:tcPr>
          <w:p>
            <w:pPr>
              <w:spacing w:after="0"/>
              <w:rPr>
                <w:sz w:val="22"/>
                <w:szCs w:val="22"/>
                <w:color w:val="auto"/>
              </w:rPr>
            </w:pPr>
          </w:p>
        </w:tc>
        <w:tc>
          <w:tcPr>
            <w:tcW w:w="80" w:type="dxa"/>
            <w:vAlign w:val="bottom"/>
          </w:tcPr>
          <w:p>
            <w:pPr>
              <w:spacing w:after="0"/>
              <w:rPr>
                <w:sz w:val="22"/>
                <w:szCs w:val="22"/>
                <w:color w:val="auto"/>
              </w:rPr>
            </w:pPr>
          </w:p>
        </w:tc>
      </w:tr>
      <w:tr>
        <w:trPr>
          <w:trHeight w:val="256"/>
        </w:trPr>
        <w:tc>
          <w:tcPr>
            <w:tcW w:w="4980" w:type="dxa"/>
            <w:vAlign w:val="bottom"/>
          </w:tcPr>
          <w:p>
            <w:pPr>
              <w:ind w:left="20"/>
              <w:spacing w:after="0"/>
              <w:rPr>
                <w:sz w:val="20"/>
                <w:szCs w:val="20"/>
                <w:color w:val="auto"/>
              </w:rPr>
            </w:pPr>
            <w:r>
              <w:rPr>
                <w:rFonts w:ascii="Arial" w:cs="Arial" w:eastAsia="Arial" w:hAnsi="Arial"/>
                <w:sz w:val="20"/>
                <w:szCs w:val="20"/>
                <w:color w:val="auto"/>
              </w:rPr>
              <w:t>Specialty Industrial</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316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253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196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964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780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4980" w:type="dxa"/>
            <w:vAlign w:val="bottom"/>
            <w:shd w:val="clear" w:color="auto" w:fill="CFF0FC"/>
          </w:tcPr>
          <w:p>
            <w:pPr>
              <w:ind w:left="20"/>
              <w:spacing w:after="0"/>
              <w:rPr>
                <w:sz w:val="20"/>
                <w:szCs w:val="20"/>
                <w:color w:val="auto"/>
              </w:rPr>
            </w:pPr>
            <w:r>
              <w:rPr>
                <w:rFonts w:ascii="Arial" w:cs="Arial" w:eastAsia="Arial" w:hAnsi="Arial"/>
                <w:sz w:val="20"/>
                <w:szCs w:val="20"/>
                <w:color w:val="auto"/>
              </w:rPr>
              <w:t>Total net revenues</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1,085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954</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764</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3,547</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01"/>
              <w:spacing w:after="0"/>
              <w:rPr>
                <w:sz w:val="20"/>
                <w:szCs w:val="20"/>
                <w:color w:val="auto"/>
              </w:rPr>
            </w:pPr>
            <w:r>
              <w:rPr>
                <w:rFonts w:ascii="Arial" w:cs="Arial" w:eastAsia="Arial" w:hAnsi="Arial"/>
                <w:sz w:val="20"/>
                <w:szCs w:val="20"/>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b w:val="1"/>
                <w:bCs w:val="1"/>
                <w:color w:val="auto"/>
              </w:rPr>
              <w:t>2,950</w:t>
            </w:r>
          </w:p>
        </w:tc>
        <w:tc>
          <w:tcPr>
            <w:tcW w:w="10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56"/>
        </w:trPr>
        <w:tc>
          <w:tcPr>
            <w:tcW w:w="4980" w:type="dxa"/>
            <w:vAlign w:val="bottom"/>
          </w:tcPr>
          <w:p>
            <w:pPr>
              <w:ind w:left="20"/>
              <w:spacing w:after="0"/>
              <w:rPr>
                <w:sz w:val="20"/>
                <w:szCs w:val="20"/>
                <w:color w:val="auto"/>
              </w:rPr>
            </w:pPr>
            <w:r>
              <w:rPr>
                <w:rFonts w:ascii="Arial" w:cs="Arial" w:eastAsia="Arial" w:hAnsi="Arial"/>
                <w:sz w:val="20"/>
                <w:szCs w:val="20"/>
                <w:b w:val="1"/>
                <w:bCs w:val="1"/>
                <w:color w:val="auto"/>
              </w:rPr>
              <w:t>GAAP Financial Measures</w:t>
            </w: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4980" w:type="dxa"/>
            <w:vAlign w:val="bottom"/>
          </w:tcPr>
          <w:p>
            <w:pPr>
              <w:ind w:left="20"/>
              <w:spacing w:after="0"/>
              <w:rPr>
                <w:sz w:val="20"/>
                <w:szCs w:val="20"/>
                <w:color w:val="auto"/>
              </w:rPr>
            </w:pPr>
            <w:r>
              <w:rPr>
                <w:rFonts w:ascii="Arial" w:cs="Arial" w:eastAsia="Arial" w:hAnsi="Arial"/>
                <w:sz w:val="20"/>
                <w:szCs w:val="20"/>
                <w:color w:val="auto"/>
              </w:rPr>
              <w:t>Gross margin</w:t>
            </w:r>
          </w:p>
        </w:tc>
        <w:tc>
          <w:tcPr>
            <w:tcW w:w="140" w:type="dxa"/>
            <w:vAlign w:val="bottom"/>
          </w:tcPr>
          <w:p>
            <w:pPr>
              <w:spacing w:after="0"/>
              <w:rPr>
                <w:sz w:val="21"/>
                <w:szCs w:val="21"/>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20"/>
                <w:szCs w:val="20"/>
                <w:color w:val="auto"/>
              </w:rPr>
              <w:t>44.7 %</w:t>
            </w:r>
          </w:p>
        </w:tc>
        <w:tc>
          <w:tcPr>
            <w:tcW w:w="14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20"/>
                <w:szCs w:val="20"/>
                <w:color w:val="auto"/>
              </w:rPr>
              <w:t>40.8 %</w:t>
            </w:r>
          </w:p>
        </w:tc>
        <w:tc>
          <w:tcPr>
            <w:tcW w:w="140" w:type="dxa"/>
            <w:vAlign w:val="bottom"/>
          </w:tcPr>
          <w:p>
            <w:pPr>
              <w:spacing w:after="0"/>
              <w:rPr>
                <w:sz w:val="21"/>
                <w:szCs w:val="21"/>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20"/>
                <w:szCs w:val="20"/>
                <w:color w:val="auto"/>
              </w:rPr>
              <w:t>46.4 %</w:t>
            </w:r>
          </w:p>
        </w:tc>
        <w:tc>
          <w:tcPr>
            <w:tcW w:w="220" w:type="dxa"/>
            <w:vAlign w:val="bottom"/>
          </w:tcPr>
          <w:p>
            <w:pPr>
              <w:spacing w:after="0"/>
              <w:rPr>
                <w:sz w:val="21"/>
                <w:szCs w:val="21"/>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20"/>
                <w:szCs w:val="20"/>
                <w:color w:val="auto"/>
              </w:rPr>
              <w:t>43.6 %</w:t>
            </w:r>
          </w:p>
        </w:tc>
        <w:tc>
          <w:tcPr>
            <w:tcW w:w="3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20"/>
                <w:szCs w:val="20"/>
                <w:color w:val="auto"/>
              </w:rPr>
              <w:t>46.8 %</w:t>
            </w:r>
          </w:p>
        </w:tc>
      </w:tr>
      <w:tr>
        <w:trPr>
          <w:trHeight w:val="258"/>
        </w:trPr>
        <w:tc>
          <w:tcPr>
            <w:tcW w:w="4980" w:type="dxa"/>
            <w:vAlign w:val="bottom"/>
          </w:tcPr>
          <w:p>
            <w:pPr>
              <w:ind w:left="20"/>
              <w:spacing w:after="0"/>
              <w:rPr>
                <w:sz w:val="20"/>
                <w:szCs w:val="20"/>
                <w:color w:val="auto"/>
              </w:rPr>
            </w:pPr>
            <w:r>
              <w:rPr>
                <w:rFonts w:ascii="Arial" w:cs="Arial" w:eastAsia="Arial" w:hAnsi="Arial"/>
                <w:sz w:val="20"/>
                <w:szCs w:val="20"/>
                <w:color w:val="auto"/>
              </w:rPr>
              <w:t>Operating margin</w:t>
            </w:r>
          </w:p>
        </w:tc>
        <w:tc>
          <w:tcPr>
            <w:tcW w:w="140" w:type="dxa"/>
            <w:vAlign w:val="bottom"/>
          </w:tcPr>
          <w:p>
            <w:pPr>
              <w:spacing w:after="0"/>
              <w:rPr>
                <w:sz w:val="22"/>
                <w:szCs w:val="22"/>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20"/>
                <w:szCs w:val="20"/>
                <w:color w:val="auto"/>
              </w:rPr>
              <w:t>15.0 %</w:t>
            </w:r>
          </w:p>
        </w:tc>
        <w:tc>
          <w:tcPr>
            <w:tcW w:w="140" w:type="dxa"/>
            <w:vAlign w:val="bottom"/>
          </w:tcPr>
          <w:p>
            <w:pPr>
              <w:spacing w:after="0"/>
              <w:rPr>
                <w:sz w:val="22"/>
                <w:szCs w:val="22"/>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20"/>
                <w:szCs w:val="20"/>
                <w:color w:val="auto"/>
              </w:rPr>
              <w:t>12.4 %</w:t>
            </w:r>
          </w:p>
        </w:tc>
        <w:tc>
          <w:tcPr>
            <w:tcW w:w="140" w:type="dxa"/>
            <w:vAlign w:val="bottom"/>
          </w:tcPr>
          <w:p>
            <w:pPr>
              <w:spacing w:after="0"/>
              <w:rPr>
                <w:sz w:val="22"/>
                <w:szCs w:val="22"/>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20"/>
                <w:szCs w:val="20"/>
                <w:color w:val="auto"/>
              </w:rPr>
              <w:t>23.8 %</w:t>
            </w:r>
          </w:p>
        </w:tc>
        <w:tc>
          <w:tcPr>
            <w:tcW w:w="220" w:type="dxa"/>
            <w:vAlign w:val="bottom"/>
          </w:tcPr>
          <w:p>
            <w:pPr>
              <w:spacing w:after="0"/>
              <w:rPr>
                <w:sz w:val="22"/>
                <w:szCs w:val="22"/>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20"/>
                <w:szCs w:val="20"/>
                <w:color w:val="auto"/>
              </w:rPr>
              <w:t>17.4 %</w:t>
            </w:r>
          </w:p>
        </w:tc>
        <w:tc>
          <w:tcPr>
            <w:tcW w:w="300" w:type="dxa"/>
            <w:vAlign w:val="bottom"/>
          </w:tcPr>
          <w:p>
            <w:pPr>
              <w:spacing w:after="0"/>
              <w:rPr>
                <w:sz w:val="22"/>
                <w:szCs w:val="22"/>
                <w:color w:val="auto"/>
              </w:rPr>
            </w:pPr>
          </w:p>
        </w:tc>
        <w:tc>
          <w:tcPr>
            <w:tcW w:w="920" w:type="dxa"/>
            <w:vAlign w:val="bottom"/>
            <w:gridSpan w:val="3"/>
          </w:tcPr>
          <w:p>
            <w:pPr>
              <w:jc w:val="right"/>
              <w:spacing w:after="0"/>
              <w:rPr>
                <w:sz w:val="20"/>
                <w:szCs w:val="20"/>
                <w:color w:val="auto"/>
              </w:rPr>
            </w:pPr>
            <w:r>
              <w:rPr>
                <w:rFonts w:ascii="Arial" w:cs="Arial" w:eastAsia="Arial" w:hAnsi="Arial"/>
                <w:sz w:val="20"/>
                <w:szCs w:val="20"/>
                <w:color w:val="auto"/>
              </w:rPr>
              <w:t>23.7 %</w:t>
            </w:r>
          </w:p>
        </w:tc>
      </w:tr>
      <w:tr>
        <w:trPr>
          <w:trHeight w:val="261"/>
        </w:trPr>
        <w:tc>
          <w:tcPr>
            <w:tcW w:w="4980" w:type="dxa"/>
            <w:vAlign w:val="bottom"/>
            <w:shd w:val="clear" w:color="auto" w:fill="CFF0FC"/>
          </w:tcPr>
          <w:p>
            <w:pPr>
              <w:ind w:left="20"/>
              <w:spacing w:after="0"/>
              <w:rPr>
                <w:sz w:val="20"/>
                <w:szCs w:val="20"/>
                <w:color w:val="auto"/>
              </w:rPr>
            </w:pPr>
            <w:r>
              <w:rPr>
                <w:rFonts w:ascii="Arial" w:cs="Arial" w:eastAsia="Arial" w:hAnsi="Arial"/>
                <w:sz w:val="20"/>
                <w:szCs w:val="20"/>
                <w:color w:val="auto"/>
              </w:rPr>
              <w:t>Net income</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54</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150</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333</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551</w:t>
            </w:r>
          </w:p>
        </w:tc>
        <w:tc>
          <w:tcPr>
            <w:tcW w:w="100" w:type="dxa"/>
            <w:vAlign w:val="bottom"/>
            <w:shd w:val="clear" w:color="auto" w:fill="CFF0FC"/>
          </w:tcPr>
          <w:p>
            <w:pPr>
              <w:spacing w:after="0"/>
              <w:rPr>
                <w:sz w:val="22"/>
                <w:szCs w:val="22"/>
                <w:color w:val="auto"/>
              </w:rPr>
            </w:pPr>
          </w:p>
        </w:tc>
        <w:tc>
          <w:tcPr>
            <w:tcW w:w="80" w:type="dxa"/>
            <w:vAlign w:val="bottom"/>
          </w:tcPr>
          <w:p>
            <w:pPr>
              <w:spacing w:after="0"/>
              <w:rPr>
                <w:sz w:val="22"/>
                <w:szCs w:val="22"/>
                <w:color w:val="auto"/>
              </w:rPr>
            </w:pPr>
          </w:p>
        </w:tc>
      </w:tr>
      <w:tr>
        <w:trPr>
          <w:trHeight w:val="253"/>
        </w:trPr>
        <w:tc>
          <w:tcPr>
            <w:tcW w:w="4980" w:type="dxa"/>
            <w:vAlign w:val="bottom"/>
          </w:tcPr>
          <w:p>
            <w:pPr>
              <w:ind w:left="20"/>
              <w:spacing w:after="0"/>
              <w:rPr>
                <w:sz w:val="20"/>
                <w:szCs w:val="20"/>
                <w:color w:val="auto"/>
              </w:rPr>
            </w:pPr>
            <w:r>
              <w:rPr>
                <w:rFonts w:ascii="Arial" w:cs="Arial" w:eastAsia="Arial" w:hAnsi="Arial"/>
                <w:sz w:val="20"/>
                <w:szCs w:val="20"/>
                <w:color w:val="auto"/>
              </w:rPr>
              <w:t>Diluted EPS</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0.81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0.09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2.69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jc w:val="right"/>
              <w:ind w:right="21"/>
              <w:spacing w:after="0"/>
              <w:rPr>
                <w:sz w:val="20"/>
                <w:szCs w:val="20"/>
                <w:color w:val="auto"/>
              </w:rPr>
            </w:pPr>
            <w:r>
              <w:rPr>
                <w:rFonts w:ascii="Arial" w:cs="Arial" w:eastAsia="Arial" w:hAnsi="Arial"/>
                <w:sz w:val="20"/>
                <w:szCs w:val="20"/>
                <w:color w:val="auto"/>
                <w:w w:val="71"/>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5.56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9.90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0"/>
        </w:trPr>
        <w:tc>
          <w:tcPr>
            <w:tcW w:w="4980" w:type="dxa"/>
            <w:vAlign w:val="bottom"/>
            <w:shd w:val="clear" w:color="auto" w:fill="CFF0FC"/>
          </w:tcPr>
          <w:p>
            <w:pPr>
              <w:ind w:left="20"/>
              <w:spacing w:after="0"/>
              <w:rPr>
                <w:sz w:val="20"/>
                <w:szCs w:val="20"/>
                <w:color w:val="auto"/>
              </w:rPr>
            </w:pPr>
            <w:r>
              <w:rPr>
                <w:rFonts w:ascii="Arial" w:cs="Arial" w:eastAsia="Arial" w:hAnsi="Arial"/>
                <w:sz w:val="20"/>
                <w:szCs w:val="20"/>
                <w:b w:val="1"/>
                <w:bCs w:val="1"/>
                <w:color w:val="auto"/>
              </w:rPr>
              <w:t>Non-GAAP Financial Measures</w:t>
            </w:r>
          </w:p>
        </w:tc>
        <w:tc>
          <w:tcPr>
            <w:tcW w:w="1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4980" w:type="dxa"/>
            <w:vAlign w:val="bottom"/>
          </w:tcPr>
          <w:p>
            <w:pPr>
              <w:ind w:left="20"/>
              <w:spacing w:after="0"/>
              <w:rPr>
                <w:sz w:val="20"/>
                <w:szCs w:val="20"/>
                <w:color w:val="auto"/>
              </w:rPr>
            </w:pPr>
            <w:r>
              <w:rPr>
                <w:rFonts w:ascii="Arial" w:cs="Arial" w:eastAsia="Arial" w:hAnsi="Arial"/>
                <w:sz w:val="20"/>
                <w:szCs w:val="20"/>
                <w:color w:val="auto"/>
              </w:rPr>
              <w:t>Gross margin</w:t>
            </w:r>
          </w:p>
        </w:tc>
        <w:tc>
          <w:tcPr>
            <w:tcW w:w="140" w:type="dxa"/>
            <w:vAlign w:val="bottom"/>
          </w:tcPr>
          <w:p>
            <w:pPr>
              <w:spacing w:after="0"/>
              <w:rPr>
                <w:sz w:val="21"/>
                <w:szCs w:val="21"/>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20"/>
                <w:szCs w:val="20"/>
                <w:color w:val="auto"/>
              </w:rPr>
              <w:t>45.9 %</w:t>
            </w:r>
          </w:p>
        </w:tc>
        <w:tc>
          <w:tcPr>
            <w:tcW w:w="14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20"/>
                <w:szCs w:val="20"/>
                <w:color w:val="auto"/>
              </w:rPr>
              <w:t>44.9 %</w:t>
            </w:r>
          </w:p>
        </w:tc>
        <w:tc>
          <w:tcPr>
            <w:tcW w:w="140" w:type="dxa"/>
            <w:vAlign w:val="bottom"/>
          </w:tcPr>
          <w:p>
            <w:pPr>
              <w:spacing w:after="0"/>
              <w:rPr>
                <w:sz w:val="21"/>
                <w:szCs w:val="21"/>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20"/>
                <w:szCs w:val="20"/>
                <w:color w:val="auto"/>
              </w:rPr>
              <w:t>46.4 %</w:t>
            </w:r>
          </w:p>
        </w:tc>
        <w:tc>
          <w:tcPr>
            <w:tcW w:w="220" w:type="dxa"/>
            <w:vAlign w:val="bottom"/>
          </w:tcPr>
          <w:p>
            <w:pPr>
              <w:spacing w:after="0"/>
              <w:rPr>
                <w:sz w:val="21"/>
                <w:szCs w:val="21"/>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20"/>
                <w:szCs w:val="20"/>
                <w:color w:val="auto"/>
              </w:rPr>
              <w:t>45.1 %</w:t>
            </w:r>
          </w:p>
        </w:tc>
        <w:tc>
          <w:tcPr>
            <w:tcW w:w="3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20"/>
                <w:szCs w:val="20"/>
                <w:color w:val="auto"/>
              </w:rPr>
              <w:t>46.8 %</w:t>
            </w:r>
          </w:p>
        </w:tc>
      </w:tr>
      <w:tr>
        <w:trPr>
          <w:trHeight w:val="253"/>
        </w:trPr>
        <w:tc>
          <w:tcPr>
            <w:tcW w:w="4980" w:type="dxa"/>
            <w:vAlign w:val="bottom"/>
          </w:tcPr>
          <w:p>
            <w:pPr>
              <w:ind w:left="20"/>
              <w:spacing w:after="0"/>
              <w:rPr>
                <w:sz w:val="20"/>
                <w:szCs w:val="20"/>
                <w:color w:val="auto"/>
              </w:rPr>
            </w:pPr>
            <w:r>
              <w:rPr>
                <w:rFonts w:ascii="Arial" w:cs="Arial" w:eastAsia="Arial" w:hAnsi="Arial"/>
                <w:sz w:val="20"/>
                <w:szCs w:val="20"/>
                <w:color w:val="auto"/>
              </w:rPr>
              <w:t>Operating margin</w:t>
            </w:r>
          </w:p>
        </w:tc>
        <w:tc>
          <w:tcPr>
            <w:tcW w:w="140" w:type="dxa"/>
            <w:vAlign w:val="bottom"/>
          </w:tcPr>
          <w:p>
            <w:pPr>
              <w:spacing w:after="0"/>
              <w:rPr>
                <w:sz w:val="22"/>
                <w:szCs w:val="22"/>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20"/>
                <w:szCs w:val="20"/>
                <w:color w:val="auto"/>
              </w:rPr>
              <w:t>23.6 %</w:t>
            </w:r>
          </w:p>
        </w:tc>
        <w:tc>
          <w:tcPr>
            <w:tcW w:w="140" w:type="dxa"/>
            <w:vAlign w:val="bottom"/>
          </w:tcPr>
          <w:p>
            <w:pPr>
              <w:spacing w:after="0"/>
              <w:rPr>
                <w:sz w:val="22"/>
                <w:szCs w:val="22"/>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20"/>
                <w:szCs w:val="20"/>
                <w:color w:val="auto"/>
              </w:rPr>
              <w:t>25.1 %</w:t>
            </w:r>
          </w:p>
        </w:tc>
        <w:tc>
          <w:tcPr>
            <w:tcW w:w="140" w:type="dxa"/>
            <w:vAlign w:val="bottom"/>
          </w:tcPr>
          <w:p>
            <w:pPr>
              <w:spacing w:after="0"/>
              <w:rPr>
                <w:sz w:val="22"/>
                <w:szCs w:val="22"/>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20"/>
                <w:szCs w:val="20"/>
                <w:color w:val="auto"/>
              </w:rPr>
              <w:t>27.1 %</w:t>
            </w:r>
          </w:p>
        </w:tc>
        <w:tc>
          <w:tcPr>
            <w:tcW w:w="220" w:type="dxa"/>
            <w:vAlign w:val="bottom"/>
          </w:tcPr>
          <w:p>
            <w:pPr>
              <w:spacing w:after="0"/>
              <w:rPr>
                <w:sz w:val="22"/>
                <w:szCs w:val="22"/>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20"/>
                <w:szCs w:val="20"/>
                <w:color w:val="auto"/>
              </w:rPr>
              <w:t>24.5 %</w:t>
            </w:r>
          </w:p>
        </w:tc>
        <w:tc>
          <w:tcPr>
            <w:tcW w:w="300" w:type="dxa"/>
            <w:vAlign w:val="bottom"/>
          </w:tcPr>
          <w:p>
            <w:pPr>
              <w:spacing w:after="0"/>
              <w:rPr>
                <w:sz w:val="22"/>
                <w:szCs w:val="22"/>
                <w:color w:val="auto"/>
              </w:rPr>
            </w:pPr>
          </w:p>
        </w:tc>
        <w:tc>
          <w:tcPr>
            <w:tcW w:w="920" w:type="dxa"/>
            <w:vAlign w:val="bottom"/>
            <w:gridSpan w:val="3"/>
          </w:tcPr>
          <w:p>
            <w:pPr>
              <w:jc w:val="right"/>
              <w:spacing w:after="0"/>
              <w:rPr>
                <w:sz w:val="20"/>
                <w:szCs w:val="20"/>
                <w:color w:val="auto"/>
              </w:rPr>
            </w:pPr>
            <w:r>
              <w:rPr>
                <w:rFonts w:ascii="Arial" w:cs="Arial" w:eastAsia="Arial" w:hAnsi="Arial"/>
                <w:sz w:val="20"/>
                <w:szCs w:val="20"/>
                <w:color w:val="auto"/>
              </w:rPr>
              <w:t>27.0 %</w:t>
            </w:r>
          </w:p>
        </w:tc>
      </w:tr>
      <w:tr>
        <w:trPr>
          <w:trHeight w:val="261"/>
        </w:trPr>
        <w:tc>
          <w:tcPr>
            <w:tcW w:w="4980" w:type="dxa"/>
            <w:vAlign w:val="bottom"/>
          </w:tcPr>
          <w:p>
            <w:pPr>
              <w:ind w:left="20"/>
              <w:spacing w:after="0"/>
              <w:rPr>
                <w:sz w:val="20"/>
                <w:szCs w:val="20"/>
                <w:color w:val="auto"/>
              </w:rPr>
            </w:pPr>
            <w:r>
              <w:rPr>
                <w:rFonts w:ascii="Arial" w:cs="Arial" w:eastAsia="Arial" w:hAnsi="Arial"/>
                <w:sz w:val="20"/>
                <w:szCs w:val="20"/>
                <w:color w:val="auto"/>
              </w:rPr>
              <w:t>Net earnings</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133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167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168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jc w:val="right"/>
              <w:ind w:right="21"/>
              <w:spacing w:after="0"/>
              <w:rPr>
                <w:sz w:val="20"/>
                <w:szCs w:val="20"/>
                <w:color w:val="auto"/>
              </w:rPr>
            </w:pPr>
            <w:r>
              <w:rPr>
                <w:rFonts w:ascii="Arial" w:cs="Arial" w:eastAsia="Arial" w:hAnsi="Arial"/>
                <w:sz w:val="20"/>
                <w:szCs w:val="20"/>
                <w:color w:val="auto"/>
                <w:w w:val="71"/>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597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jc w:val="right"/>
              <w:ind w:right="101"/>
              <w:spacing w:after="0"/>
              <w:rPr>
                <w:sz w:val="20"/>
                <w:szCs w:val="20"/>
                <w:color w:val="auto"/>
              </w:rPr>
            </w:pPr>
            <w:r>
              <w:rPr>
                <w:rFonts w:ascii="Arial" w:cs="Arial" w:eastAsia="Arial" w:hAnsi="Arial"/>
                <w:sz w:val="20"/>
                <w:szCs w:val="20"/>
                <w:color w:val="auto"/>
                <w:w w:val="71"/>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634</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1"/>
        </w:trPr>
        <w:tc>
          <w:tcPr>
            <w:tcW w:w="4980" w:type="dxa"/>
            <w:vAlign w:val="bottom"/>
            <w:shd w:val="clear" w:color="auto" w:fill="CFF0FC"/>
          </w:tcPr>
          <w:p>
            <w:pPr>
              <w:ind w:left="20"/>
              <w:spacing w:after="0"/>
              <w:rPr>
                <w:sz w:val="20"/>
                <w:szCs w:val="20"/>
                <w:color w:val="auto"/>
              </w:rPr>
            </w:pPr>
            <w:r>
              <w:rPr>
                <w:rFonts w:ascii="Arial" w:cs="Arial" w:eastAsia="Arial" w:hAnsi="Arial"/>
                <w:sz w:val="20"/>
                <w:szCs w:val="20"/>
                <w:color w:val="auto"/>
              </w:rPr>
              <w:t>Diluted EPS</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2.00</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2.74</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3.02</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9.97</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11.38</w:t>
            </w:r>
          </w:p>
        </w:tc>
        <w:tc>
          <w:tcPr>
            <w:tcW w:w="100" w:type="dxa"/>
            <w:vAlign w:val="bottom"/>
            <w:shd w:val="clear" w:color="auto" w:fill="CFF0FC"/>
          </w:tcPr>
          <w:p>
            <w:pPr>
              <w:spacing w:after="0"/>
              <w:rPr>
                <w:sz w:val="22"/>
                <w:szCs w:val="22"/>
                <w:color w:val="auto"/>
              </w:rPr>
            </w:pPr>
          </w:p>
        </w:tc>
        <w:tc>
          <w:tcPr>
            <w:tcW w:w="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-1464945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-487680</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Financial Information</w:t>
      </w:r>
    </w:p>
    <w:p>
      <w:pPr>
        <w:spacing w:after="0" w:line="104" w:lineRule="exact"/>
        <w:rPr>
          <w:sz w:val="20"/>
          <w:szCs w:val="20"/>
          <w:color w:val="auto"/>
        </w:rPr>
      </w:pPr>
    </w:p>
    <w:p>
      <w:pPr>
        <w:ind w:right="160" w:firstLine="374"/>
        <w:spacing w:after="0" w:line="238" w:lineRule="auto"/>
        <w:rPr>
          <w:sz w:val="20"/>
          <w:szCs w:val="20"/>
          <w:color w:val="auto"/>
        </w:rPr>
      </w:pPr>
      <w:r>
        <w:rPr>
          <w:rFonts w:ascii="Arial" w:cs="Arial" w:eastAsia="Arial" w:hAnsi="Arial"/>
          <w:sz w:val="22"/>
          <w:szCs w:val="22"/>
          <w:color w:val="auto"/>
        </w:rPr>
        <w:t>At December 31, 2022, the Company had $910 million in cash and short-term investments, $5.1 billion of secured term loan principal outstanding, and up to $500 million of additional borrowing capacity under a revolving credit facility, subject to certain leverage ratio requirements. During the fourth quarter of 2022, the Company paid a cash dividend of $15 million or $0.22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328" w:right="259" w:bottom="1440" w:gutter="0" w:footer="0" w:header="0"/>
        </w:sectPr>
      </w:pPr>
    </w:p>
    <w:bookmarkStart w:id="7" w:name="page8"/>
    <w:bookmarkEnd w:id="7"/>
    <w:p>
      <w:pPr>
        <w:jc w:val="center"/>
        <w:ind w:left="360"/>
        <w:spacing w:after="0"/>
        <w:rPr>
          <w:sz w:val="20"/>
          <w:szCs w:val="20"/>
          <w:color w:val="auto"/>
        </w:rPr>
      </w:pPr>
      <w:r>
        <w:rPr>
          <w:rFonts w:ascii="Arial" w:cs="Arial" w:eastAsia="Arial" w:hAnsi="Arial"/>
          <w:sz w:val="22"/>
          <w:szCs w:val="22"/>
          <w:b w:val="1"/>
          <w:bCs w:val="1"/>
          <w:color w:val="auto"/>
        </w:rPr>
        <w:t>SAFE HARBOR FOR FORWARD-LOOKING STATEMENTS</w:t>
      </w:r>
    </w:p>
    <w:p>
      <w:pPr>
        <w:spacing w:after="0" w:line="104" w:lineRule="exact"/>
        <w:rPr>
          <w:sz w:val="20"/>
          <w:szCs w:val="20"/>
          <w:color w:val="auto"/>
        </w:rPr>
      </w:pPr>
    </w:p>
    <w:p>
      <w:pPr>
        <w:ind w:firstLine="374"/>
        <w:spacing w:after="0" w:line="269"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Section 27A of the Securities Act of 1933 and Section 21E of the Securities Exchange Act of 1934 regarding the future financial performance, business prospects and growth of MKS Instruments, Inc. (“MKS”, the “Company”, “our”, or “we”) and the impact of the ransomware event we identified on February 3, 2023. These statements are only predictions based on current assumptions and expectations. Any statements that are not statements of historical fact (including statements containing the words “will,” “projects,” “intends,” “believes,” “plans,” “anticipates,” “expects,” “estimates,” “forecasts,” “continues” and similar expressions) should be considered to be forward-looking statements. Actual events or results may differ materially from those in the forward-looking statements set forth herein. Among the important factors that could cause actual events to differ materially from those in the forward-looking statements that we make are the need to generate sufficient cash flows to service and repay the substantial indebtedness we have incurred in connection with our acquisition of Atotech Limited (“Atotech” and such transaction, the “Atotech Acquisition”), which we completed in August 2022; the terms of our existing term loans under which we incurred such debt; our entry into the chemicals technology business through the Atotech Acquisition, in which we do not have experience and which may expose us to significant additional liabilities; the risk that we are unable to integrate the Atotech Acquisition successfully or realize the anticipated synergies, cost savings and other benefits of the Atotech Acquisition; the ongoing assessment and impact of the ransomware event we identified on February 3, 2023, including legal, reputational, financial and contractual risks resulting from the incident, and other risks related to cybersecurity, data privacy and intellectual property; competition from larger, more advanced or more established companies in our markets; the ability to successfully grow our business and the businesses of Atotech and Electro Scientific Industries, Inc., which we acquired in February 2019, and financial risks associated with those and potential future acquisitions, including goodwill and intangible asset impairments; manufacturing and sourcing risks, including those associated with limited and sole source suppliers and the impact and duration of supply chain disruptions, component shortages, and price increases; changes in global demand and the impact of COVID-19 or any other pandemic, including with respect to such supply chain disruptions, component shortages and price increases; risks associated with doing business internationally, including trade compliance, regulatory restrictions on our products, components or markets, particularly the semiconductor market, and unfavorable currency exchange and tax rate fluctuations, which risks become more significant as we grow our business internationally and in China specifically; conditions affecting the markets in which we operate, including fluctuations in capital spending in the semiconductor, electronics manufacturing and automotive industries, and fluctuations in sales to our major customers; disruptions or delays from third-party service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 w:name="page9"/>
    <w:bookmarkEnd w:id="8"/>
    <w:p>
      <w:pPr>
        <w:spacing w:after="0" w:line="243" w:lineRule="auto"/>
        <w:rPr>
          <w:sz w:val="20"/>
          <w:szCs w:val="20"/>
          <w:color w:val="auto"/>
        </w:rPr>
      </w:pPr>
      <w:r>
        <w:rPr>
          <w:rFonts w:ascii="Arial" w:cs="Arial" w:eastAsia="Arial" w:hAnsi="Arial"/>
          <w:sz w:val="21"/>
          <w:szCs w:val="21"/>
          <w:color w:val="auto"/>
        </w:rPr>
        <w:t>upon which our operations may rely; the ability to anticipate and meet customer demand; the challenges, risks and costs involved with integrating or transitioning local and international operations of the companies we have acquired; risks associated with the attraction and retention of key personnel; potential fluctuations in quarterly results; dependence on new product development; rapid technological and market change; acquisition strategy; volatility of stock price; risks associated with chemical manufacturing and environmental regulation compliance; risks related to defective products; financial and legal risk management; and the other important factors described in MKS’ Quarterly Report on Form 10-Q for the quarter ended September 30, 2022. MKS is under no obligation to, and expressly disclaims any obligation to, update or alter these forward-looking statements, whether as a result of new information, future events or otherwise after the date of this press release. Amounts reported in this press release are preliminary and subject to finalization prior to the filing of our Annual Report on Form 10-K for the year ended December 31, 2022.</w:t>
      </w:r>
    </w:p>
    <w:p>
      <w:pPr>
        <w:jc w:val="center"/>
        <w:ind w:right="-19"/>
        <w:spacing w:after="0" w:line="233" w:lineRule="auto"/>
        <w:rPr>
          <w:sz w:val="20"/>
          <w:szCs w:val="20"/>
          <w:color w:val="auto"/>
        </w:rPr>
      </w:pPr>
      <w:r>
        <w:rPr>
          <w:rFonts w:ascii="Arial" w:cs="Arial" w:eastAsia="Arial" w:hAnsi="Arial"/>
          <w:sz w:val="22"/>
          <w:szCs w:val="22"/>
          <w:color w:val="auto"/>
        </w:rPr>
        <w:t>###</w:t>
      </w:r>
    </w:p>
    <w:p>
      <w:pPr>
        <w:spacing w:after="0" w:line="230" w:lineRule="auto"/>
        <w:rPr>
          <w:sz w:val="20"/>
          <w:szCs w:val="20"/>
          <w:color w:val="auto"/>
        </w:rPr>
      </w:pPr>
      <w:r>
        <w:rPr>
          <w:rFonts w:ascii="Arial" w:cs="Arial" w:eastAsia="Arial" w:hAnsi="Arial"/>
          <w:sz w:val="22"/>
          <w:szCs w:val="22"/>
          <w:u w:val="single" w:color="auto"/>
          <w:color w:val="auto"/>
        </w:rPr>
        <w:t>Company Contact</w:t>
      </w:r>
      <w:r>
        <w:rPr>
          <w:rFonts w:ascii="Arial" w:cs="Arial" w:eastAsia="Arial" w:hAnsi="Arial"/>
          <w:sz w:val="22"/>
          <w:szCs w:val="22"/>
          <w:color w:val="auto"/>
        </w:rPr>
        <w:t>:</w:t>
      </w:r>
    </w:p>
    <w:p>
      <w:pPr>
        <w:spacing w:after="0" w:line="231" w:lineRule="auto"/>
        <w:rPr>
          <w:sz w:val="20"/>
          <w:szCs w:val="20"/>
          <w:color w:val="auto"/>
        </w:rPr>
      </w:pPr>
      <w:r>
        <w:rPr>
          <w:rFonts w:ascii="Arial" w:cs="Arial" w:eastAsia="Arial" w:hAnsi="Arial"/>
          <w:sz w:val="22"/>
          <w:szCs w:val="22"/>
          <w:color w:val="auto"/>
        </w:rPr>
        <w:t>David Ryzhik</w:t>
      </w:r>
    </w:p>
    <w:p>
      <w:pPr>
        <w:spacing w:after="0" w:line="231" w:lineRule="auto"/>
        <w:rPr>
          <w:sz w:val="20"/>
          <w:szCs w:val="20"/>
          <w:color w:val="auto"/>
        </w:rPr>
      </w:pPr>
      <w:r>
        <w:rPr>
          <w:rFonts w:ascii="Arial" w:cs="Arial" w:eastAsia="Arial" w:hAnsi="Arial"/>
          <w:sz w:val="22"/>
          <w:szCs w:val="22"/>
          <w:color w:val="auto"/>
        </w:rPr>
        <w:t>Vice President, Investor Relations</w:t>
      </w:r>
    </w:p>
    <w:p>
      <w:pPr>
        <w:spacing w:after="0" w:line="230" w:lineRule="auto"/>
        <w:rPr>
          <w:sz w:val="20"/>
          <w:szCs w:val="20"/>
          <w:color w:val="auto"/>
        </w:rPr>
      </w:pPr>
      <w:r>
        <w:rPr>
          <w:rFonts w:ascii="Arial" w:cs="Arial" w:eastAsia="Arial" w:hAnsi="Arial"/>
          <w:sz w:val="22"/>
          <w:szCs w:val="22"/>
          <w:color w:val="auto"/>
        </w:rPr>
        <w:t>Telephone: (978) 557-5180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Email: david.ryzhik@mksinst.com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9" w:name="page10"/>
    <w:bookmarkEnd w:id="9"/>
    <w:p>
      <w:pPr>
        <w:jc w:val="center"/>
        <w:ind w:left="360"/>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(In millions,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color w:val="auto"/>
                <w:w w:val="90"/>
              </w:rPr>
              <w:t>Three Months Ended</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color w:val="auto"/>
              </w:rPr>
              <w:t>Twelve Months Ended</w:t>
            </w:r>
          </w:p>
        </w:tc>
        <w:tc>
          <w:tcPr>
            <w:tcW w:w="100" w:type="dxa"/>
            <w:vAlign w:val="bottom"/>
          </w:tcPr>
          <w:p>
            <w:pPr>
              <w:spacing w:after="0"/>
              <w:rPr>
                <w:sz w:val="19"/>
                <w:szCs w:val="19"/>
                <w:color w:val="auto"/>
              </w:rPr>
            </w:pPr>
          </w:p>
        </w:tc>
      </w:tr>
      <w:tr>
        <w:trPr>
          <w:trHeight w:val="210"/>
        </w:trPr>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w w:val="95"/>
              </w:rPr>
              <w:t>December 31,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w w:val="93"/>
              </w:rPr>
              <w:t>September 30,</w:t>
            </w:r>
          </w:p>
        </w:tc>
        <w:tc>
          <w:tcPr>
            <w:tcW w:w="1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w w:val="93"/>
              </w:rPr>
              <w:t>December 31,</w:t>
            </w:r>
          </w:p>
        </w:tc>
        <w:tc>
          <w:tcPr>
            <w:tcW w:w="14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w w:val="95"/>
              </w:rPr>
              <w:t>December 31,</w:t>
            </w:r>
          </w:p>
        </w:tc>
        <w:tc>
          <w:tcPr>
            <w:tcW w:w="16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w w:val="93"/>
              </w:rPr>
              <w:t>December 31,</w:t>
            </w:r>
          </w:p>
        </w:tc>
        <w:tc>
          <w:tcPr>
            <w:tcW w:w="100" w:type="dxa"/>
            <w:vAlign w:val="bottom"/>
          </w:tcPr>
          <w:p>
            <w:pPr>
              <w:spacing w:after="0"/>
              <w:rPr>
                <w:sz w:val="18"/>
                <w:szCs w:val="18"/>
                <w:color w:val="auto"/>
              </w:rPr>
            </w:pPr>
          </w:p>
        </w:tc>
      </w:tr>
      <w:tr>
        <w:trPr>
          <w:trHeight w:val="242"/>
        </w:trPr>
        <w:tc>
          <w:tcPr>
            <w:tcW w:w="39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1"/>
                <w:szCs w:val="21"/>
                <w:color w:val="auto"/>
              </w:rPr>
            </w:pPr>
          </w:p>
        </w:tc>
      </w:tr>
      <w:tr>
        <w:trPr>
          <w:trHeight w:val="230"/>
        </w:trPr>
        <w:tc>
          <w:tcPr>
            <w:tcW w:w="3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3940" w:type="dxa"/>
            <w:vAlign w:val="bottom"/>
          </w:tcPr>
          <w:p>
            <w:pPr>
              <w:ind w:left="200"/>
              <w:spacing w:after="0"/>
              <w:rPr>
                <w:sz w:val="20"/>
                <w:szCs w:val="20"/>
                <w:color w:val="auto"/>
              </w:rPr>
            </w:pPr>
            <w:r>
              <w:rPr>
                <w:rFonts w:ascii="Arial" w:cs="Arial" w:eastAsia="Arial" w:hAnsi="Arial"/>
                <w:sz w:val="16"/>
                <w:szCs w:val="16"/>
                <w:color w:val="auto"/>
              </w:rPr>
              <w:t>Products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965</w:t>
            </w:r>
          </w:p>
        </w:tc>
        <w:tc>
          <w:tcPr>
            <w:tcW w:w="80" w:type="dxa"/>
            <w:vAlign w:val="bottom"/>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841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668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3,119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2,579</w:t>
            </w:r>
          </w:p>
        </w:tc>
        <w:tc>
          <w:tcPr>
            <w:tcW w:w="100" w:type="dxa"/>
            <w:vAlign w:val="bottom"/>
          </w:tcPr>
          <w:p>
            <w:pPr>
              <w:spacing w:after="0"/>
              <w:rPr>
                <w:sz w:val="19"/>
                <w:szCs w:val="19"/>
                <w:color w:val="auto"/>
              </w:rPr>
            </w:pPr>
          </w:p>
        </w:tc>
      </w:tr>
      <w:tr>
        <w:trPr>
          <w:trHeight w:val="233"/>
        </w:trPr>
        <w:tc>
          <w:tcPr>
            <w:tcW w:w="3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Services</w:t>
            </w:r>
          </w:p>
        </w:tc>
        <w:tc>
          <w:tcPr>
            <w:tcW w:w="1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8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3940" w:type="dxa"/>
            <w:vAlign w:val="bottom"/>
          </w:tcPr>
          <w:p>
            <w:pPr>
              <w:ind w:left="380"/>
              <w:spacing w:after="0"/>
              <w:rPr>
                <w:sz w:val="20"/>
                <w:szCs w:val="20"/>
                <w:color w:val="auto"/>
              </w:rPr>
            </w:pPr>
            <w:r>
              <w:rPr>
                <w:rFonts w:ascii="Arial" w:cs="Arial" w:eastAsia="Arial" w:hAnsi="Arial"/>
                <w:sz w:val="16"/>
                <w:szCs w:val="16"/>
                <w:color w:val="auto"/>
              </w:rPr>
              <w:t>Total net revenues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1,085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2,950</w:t>
            </w:r>
          </w:p>
        </w:tc>
        <w:tc>
          <w:tcPr>
            <w:tcW w:w="100" w:type="dxa"/>
            <w:vAlign w:val="bottom"/>
          </w:tcPr>
          <w:p>
            <w:pPr>
              <w:spacing w:after="0"/>
              <w:rPr>
                <w:sz w:val="19"/>
                <w:szCs w:val="19"/>
                <w:color w:val="auto"/>
              </w:rPr>
            </w:pPr>
          </w:p>
        </w:tc>
      </w:tr>
      <w:tr>
        <w:trPr>
          <w:trHeight w:val="239"/>
        </w:trPr>
        <w:tc>
          <w:tcPr>
            <w:tcW w:w="3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Cost of revenues:</w:t>
            </w: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3940" w:type="dxa"/>
            <w:vAlign w:val="bottom"/>
          </w:tcPr>
          <w:p>
            <w:pPr>
              <w:ind w:left="200"/>
              <w:spacing w:after="0"/>
              <w:rPr>
                <w:sz w:val="20"/>
                <w:szCs w:val="20"/>
                <w:color w:val="auto"/>
              </w:rPr>
            </w:pPr>
            <w:r>
              <w:rPr>
                <w:rFonts w:ascii="Arial" w:cs="Arial" w:eastAsia="Arial" w:hAnsi="Arial"/>
                <w:sz w:val="16"/>
                <w:szCs w:val="16"/>
                <w:color w:val="auto"/>
              </w:rPr>
              <w:t>Products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1,371</w:t>
            </w:r>
          </w:p>
        </w:tc>
        <w:tc>
          <w:tcPr>
            <w:tcW w:w="100" w:type="dxa"/>
            <w:vAlign w:val="bottom"/>
          </w:tcPr>
          <w:p>
            <w:pPr>
              <w:spacing w:after="0"/>
              <w:rPr>
                <w:sz w:val="19"/>
                <w:szCs w:val="19"/>
                <w:color w:val="auto"/>
              </w:rPr>
            </w:pPr>
          </w:p>
        </w:tc>
      </w:tr>
      <w:tr>
        <w:trPr>
          <w:trHeight w:val="233"/>
        </w:trPr>
        <w:tc>
          <w:tcPr>
            <w:tcW w:w="3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Services</w:t>
            </w:r>
          </w:p>
        </w:tc>
        <w:tc>
          <w:tcPr>
            <w:tcW w:w="1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8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3940" w:type="dxa"/>
            <w:vAlign w:val="bottom"/>
          </w:tcPr>
          <w:p>
            <w:pPr>
              <w:ind w:left="380"/>
              <w:spacing w:after="0"/>
              <w:rPr>
                <w:sz w:val="20"/>
                <w:szCs w:val="20"/>
                <w:color w:val="auto"/>
              </w:rPr>
            </w:pPr>
            <w:r>
              <w:rPr>
                <w:rFonts w:ascii="Arial" w:cs="Arial" w:eastAsia="Arial" w:hAnsi="Arial"/>
                <w:sz w:val="16"/>
                <w:szCs w:val="16"/>
                <w:color w:val="auto"/>
              </w:rPr>
              <w:t>Total cost of revenues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1,570</w:t>
            </w:r>
          </w:p>
        </w:tc>
        <w:tc>
          <w:tcPr>
            <w:tcW w:w="100" w:type="dxa"/>
            <w:vAlign w:val="bottom"/>
          </w:tcPr>
          <w:p>
            <w:pPr>
              <w:spacing w:after="0"/>
              <w:rPr>
                <w:sz w:val="19"/>
                <w:szCs w:val="19"/>
                <w:color w:val="auto"/>
              </w:rPr>
            </w:pPr>
          </w:p>
        </w:tc>
      </w:tr>
      <w:tr>
        <w:trPr>
          <w:trHeight w:val="239"/>
        </w:trPr>
        <w:tc>
          <w:tcPr>
            <w:tcW w:w="3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w:t>
            </w: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1,547</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1,380</w:t>
            </w:r>
          </w:p>
        </w:tc>
        <w:tc>
          <w:tcPr>
            <w:tcW w:w="100" w:type="dxa"/>
            <w:vAlign w:val="bottom"/>
            <w:shd w:val="clear" w:color="auto" w:fill="CFF0FC"/>
          </w:tcPr>
          <w:p>
            <w:pPr>
              <w:spacing w:after="0"/>
              <w:rPr>
                <w:sz w:val="20"/>
                <w:szCs w:val="20"/>
                <w:color w:val="auto"/>
              </w:rPr>
            </w:pPr>
          </w:p>
        </w:tc>
      </w:tr>
      <w:tr>
        <w:trPr>
          <w:trHeight w:val="220"/>
        </w:trPr>
        <w:tc>
          <w:tcPr>
            <w:tcW w:w="394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9"/>
                <w:szCs w:val="19"/>
                <w:color w:val="auto"/>
              </w:rPr>
            </w:pPr>
          </w:p>
        </w:tc>
      </w:tr>
      <w:tr>
        <w:trPr>
          <w:trHeight w:val="239"/>
        </w:trPr>
        <w:tc>
          <w:tcPr>
            <w:tcW w:w="3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w:t>
            </w: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488</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FF0FC"/>
          </w:tcPr>
          <w:p>
            <w:pPr>
              <w:spacing w:after="0"/>
              <w:rPr>
                <w:sz w:val="20"/>
                <w:szCs w:val="20"/>
                <w:color w:val="auto"/>
              </w:rPr>
            </w:pPr>
          </w:p>
        </w:tc>
      </w:tr>
      <w:tr>
        <w:trPr>
          <w:trHeight w:val="220"/>
        </w:trPr>
        <w:tc>
          <w:tcPr>
            <w:tcW w:w="3940" w:type="dxa"/>
            <w:vAlign w:val="bottom"/>
          </w:tcPr>
          <w:p>
            <w:pPr>
              <w:ind w:left="20"/>
              <w:spacing w:after="0"/>
              <w:rPr>
                <w:sz w:val="20"/>
                <w:szCs w:val="20"/>
                <w:color w:val="auto"/>
              </w:rPr>
            </w:pPr>
            <w:r>
              <w:rPr>
                <w:rFonts w:ascii="Arial" w:cs="Arial" w:eastAsia="Arial" w:hAnsi="Arial"/>
                <w:sz w:val="16"/>
                <w:szCs w:val="16"/>
                <w:color w:val="auto"/>
              </w:rPr>
              <w:t>Acquisition and integration costs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9"/>
                <w:szCs w:val="19"/>
                <w:color w:val="auto"/>
              </w:rPr>
            </w:pPr>
          </w:p>
        </w:tc>
      </w:tr>
      <w:tr>
        <w:trPr>
          <w:trHeight w:val="239"/>
        </w:trPr>
        <w:tc>
          <w:tcPr>
            <w:tcW w:w="3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Restructuring and other</w:t>
            </w: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FF0FC"/>
          </w:tcPr>
          <w:p>
            <w:pPr>
              <w:spacing w:after="0"/>
              <w:rPr>
                <w:sz w:val="20"/>
                <w:szCs w:val="20"/>
                <w:color w:val="auto"/>
              </w:rPr>
            </w:pPr>
          </w:p>
        </w:tc>
      </w:tr>
      <w:tr>
        <w:trPr>
          <w:trHeight w:val="220"/>
        </w:trPr>
        <w:tc>
          <w:tcPr>
            <w:tcW w:w="39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9"/>
                <w:szCs w:val="19"/>
                <w:color w:val="auto"/>
              </w:rPr>
            </w:pPr>
          </w:p>
        </w:tc>
      </w:tr>
      <w:tr>
        <w:trPr>
          <w:trHeight w:val="233"/>
        </w:trPr>
        <w:tc>
          <w:tcPr>
            <w:tcW w:w="3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Gain on sale of long-lived assets</w:t>
            </w:r>
          </w:p>
        </w:tc>
        <w:tc>
          <w:tcPr>
            <w:tcW w:w="1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(7 )</w:t>
            </w: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394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Income from operations</w:t>
            </w: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80" w:type="dxa"/>
            <w:vAlign w:val="bottom"/>
            <w:tcBorders>
              <w:top w:val="single" w:sz="8" w:color="CFF0FC"/>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617</w:t>
            </w:r>
          </w:p>
        </w:tc>
        <w:tc>
          <w:tcPr>
            <w:tcW w:w="10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699</w:t>
            </w:r>
          </w:p>
        </w:tc>
        <w:tc>
          <w:tcPr>
            <w:tcW w:w="100" w:type="dxa"/>
            <w:vAlign w:val="bottom"/>
            <w:tcBorders>
              <w:top w:val="single" w:sz="8" w:color="CFF0FC"/>
            </w:tcBorders>
          </w:tcPr>
          <w:p>
            <w:pPr>
              <w:spacing w:after="0"/>
              <w:rPr>
                <w:sz w:val="19"/>
                <w:szCs w:val="19"/>
                <w:color w:val="auto"/>
              </w:rPr>
            </w:pPr>
          </w:p>
        </w:tc>
      </w:tr>
      <w:tr>
        <w:trPr>
          <w:trHeight w:val="239"/>
        </w:trPr>
        <w:tc>
          <w:tcPr>
            <w:tcW w:w="3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1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(2 )</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(1 )</w:t>
            </w: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(4 )</w:t>
            </w: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39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r>
      <w:tr>
        <w:trPr>
          <w:trHeight w:val="233"/>
        </w:trPr>
        <w:tc>
          <w:tcPr>
            <w:tcW w:w="3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expense (income), net</w:t>
            </w: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(1 )</w:t>
            </w: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(2 )</w:t>
            </w: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20"/>
                <w:szCs w:val="20"/>
                <w:color w:val="auto"/>
              </w:rPr>
            </w:pPr>
          </w:p>
        </w:tc>
      </w:tr>
      <w:tr>
        <w:trPr>
          <w:trHeight w:val="220"/>
        </w:trPr>
        <w:tc>
          <w:tcPr>
            <w:tcW w:w="394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Income before income taxes</w:t>
            </w: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80" w:type="dxa"/>
            <w:vAlign w:val="bottom"/>
            <w:tcBorders>
              <w:top w:val="single" w:sz="8" w:color="CFF0FC"/>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665</w:t>
            </w:r>
          </w:p>
        </w:tc>
        <w:tc>
          <w:tcPr>
            <w:tcW w:w="100" w:type="dxa"/>
            <w:vAlign w:val="bottom"/>
            <w:tcBorders>
              <w:top w:val="single" w:sz="8" w:color="CFF0FC"/>
            </w:tcBorders>
          </w:tcPr>
          <w:p>
            <w:pPr>
              <w:spacing w:after="0"/>
              <w:rPr>
                <w:sz w:val="19"/>
                <w:szCs w:val="19"/>
                <w:color w:val="auto"/>
              </w:rPr>
            </w:pPr>
          </w:p>
        </w:tc>
      </w:tr>
      <w:tr>
        <w:trPr>
          <w:trHeight w:val="233"/>
        </w:trPr>
        <w:tc>
          <w:tcPr>
            <w:tcW w:w="3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Provision for income taxes</w:t>
            </w:r>
          </w:p>
        </w:tc>
        <w:tc>
          <w:tcPr>
            <w:tcW w:w="1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54</w:t>
            </w:r>
          </w:p>
        </w:tc>
        <w:tc>
          <w:tcPr>
            <w:tcW w:w="80" w:type="dxa"/>
            <w:vAlign w:val="bottom"/>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3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 per share:</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3940" w:type="dxa"/>
            <w:vAlign w:val="bottom"/>
          </w:tcPr>
          <w:p>
            <w:pPr>
              <w:ind w:left="20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0.81</w:t>
            </w:r>
          </w:p>
        </w:tc>
        <w:tc>
          <w:tcPr>
            <w:tcW w:w="80" w:type="dxa"/>
            <w:vAlign w:val="bottom"/>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9.95</w:t>
            </w:r>
          </w:p>
        </w:tc>
        <w:tc>
          <w:tcPr>
            <w:tcW w:w="100" w:type="dxa"/>
            <w:vAlign w:val="bottom"/>
          </w:tcPr>
          <w:p>
            <w:pPr>
              <w:spacing w:after="0"/>
              <w:rPr>
                <w:sz w:val="19"/>
                <w:szCs w:val="19"/>
                <w:color w:val="auto"/>
              </w:rPr>
            </w:pPr>
          </w:p>
        </w:tc>
      </w:tr>
      <w:tr>
        <w:trPr>
          <w:trHeight w:val="239"/>
        </w:trPr>
        <w:tc>
          <w:tcPr>
            <w:tcW w:w="3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0.81</w:t>
            </w:r>
          </w:p>
        </w:tc>
        <w:tc>
          <w:tcPr>
            <w:tcW w:w="8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5.56</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9.90</w:t>
            </w:r>
          </w:p>
        </w:tc>
        <w:tc>
          <w:tcPr>
            <w:tcW w:w="100" w:type="dxa"/>
            <w:vAlign w:val="bottom"/>
            <w:shd w:val="clear" w:color="auto" w:fill="CFF0FC"/>
          </w:tcPr>
          <w:p>
            <w:pPr>
              <w:spacing w:after="0"/>
              <w:rPr>
                <w:sz w:val="20"/>
                <w:szCs w:val="20"/>
                <w:color w:val="auto"/>
              </w:rPr>
            </w:pPr>
          </w:p>
        </w:tc>
      </w:tr>
      <w:tr>
        <w:trPr>
          <w:trHeight w:val="220"/>
        </w:trPr>
        <w:tc>
          <w:tcPr>
            <w:tcW w:w="3940" w:type="dxa"/>
            <w:vAlign w:val="bottom"/>
          </w:tcPr>
          <w:p>
            <w:pPr>
              <w:ind w:left="20"/>
              <w:spacing w:after="0"/>
              <w:rPr>
                <w:sz w:val="20"/>
                <w:szCs w:val="20"/>
                <w:color w:val="auto"/>
              </w:rPr>
            </w:pPr>
            <w:r>
              <w:rPr>
                <w:rFonts w:ascii="Arial" w:cs="Arial" w:eastAsia="Arial" w:hAnsi="Arial"/>
                <w:sz w:val="16"/>
                <w:szCs w:val="16"/>
                <w:color w:val="auto"/>
              </w:rPr>
              <w:t>Cash dividends per common share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0.22</w:t>
            </w:r>
          </w:p>
        </w:tc>
        <w:tc>
          <w:tcPr>
            <w:tcW w:w="80" w:type="dxa"/>
            <w:vAlign w:val="bottom"/>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0.88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0.86</w:t>
            </w:r>
          </w:p>
        </w:tc>
        <w:tc>
          <w:tcPr>
            <w:tcW w:w="100" w:type="dxa"/>
            <w:vAlign w:val="bottom"/>
          </w:tcPr>
          <w:p>
            <w:pPr>
              <w:spacing w:after="0"/>
              <w:rPr>
                <w:sz w:val="19"/>
                <w:szCs w:val="19"/>
                <w:color w:val="auto"/>
              </w:rPr>
            </w:pPr>
          </w:p>
        </w:tc>
      </w:tr>
      <w:tr>
        <w:trPr>
          <w:trHeight w:val="239"/>
        </w:trPr>
        <w:tc>
          <w:tcPr>
            <w:tcW w:w="3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3940" w:type="dxa"/>
            <w:vAlign w:val="bottom"/>
          </w:tcPr>
          <w:p>
            <w:pPr>
              <w:ind w:left="200"/>
              <w:spacing w:after="0"/>
              <w:rPr>
                <w:sz w:val="20"/>
                <w:szCs w:val="20"/>
                <w:color w:val="auto"/>
              </w:rPr>
            </w:pPr>
            <w:r>
              <w:rPr>
                <w:rFonts w:ascii="Arial" w:cs="Arial" w:eastAsia="Arial" w:hAnsi="Arial"/>
                <w:sz w:val="16"/>
                <w:szCs w:val="16"/>
                <w:color w:val="auto"/>
              </w:rPr>
              <w:t>Basic</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9"/>
                <w:szCs w:val="19"/>
                <w:color w:val="auto"/>
              </w:rPr>
            </w:pPr>
          </w:p>
        </w:tc>
      </w:tr>
      <w:tr>
        <w:trPr>
          <w:trHeight w:val="239"/>
        </w:trPr>
        <w:tc>
          <w:tcPr>
            <w:tcW w:w="3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66.7</w:t>
            </w: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55.7</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-3856990</wp:posOffset>
            </wp:positionV>
            <wp:extent cx="7683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-3856990</wp:posOffset>
            </wp:positionV>
            <wp:extent cx="6858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-3856990</wp:posOffset>
            </wp:positionV>
            <wp:extent cx="685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-3856990</wp:posOffset>
            </wp:positionV>
            <wp:extent cx="6858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-3856990</wp:posOffset>
            </wp:positionV>
            <wp:extent cx="6858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-3265170</wp:posOffset>
            </wp:positionV>
            <wp:extent cx="7683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-3265170</wp:posOffset>
            </wp:positionV>
            <wp:extent cx="6858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-3265170</wp:posOffset>
            </wp:positionV>
            <wp:extent cx="6858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-3265170</wp:posOffset>
            </wp:positionV>
            <wp:extent cx="6858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-3265170</wp:posOffset>
            </wp:positionV>
            <wp:extent cx="6858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-2091055</wp:posOffset>
            </wp:positionV>
            <wp:extent cx="7683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-2091055</wp:posOffset>
            </wp:positionV>
            <wp:extent cx="6858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-2091055</wp:posOffset>
            </wp:positionV>
            <wp:extent cx="6858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-2091055</wp:posOffset>
            </wp:positionV>
            <wp:extent cx="6858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-1499870</wp:posOffset>
            </wp:positionV>
            <wp:extent cx="7683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-1499870</wp:posOffset>
            </wp:positionV>
            <wp:extent cx="6858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-1499870</wp:posOffset>
            </wp:positionV>
            <wp:extent cx="6858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-1499870</wp:posOffset>
            </wp:positionV>
            <wp:extent cx="6858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-1499870</wp:posOffset>
            </wp:positionV>
            <wp:extent cx="6858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-1199515</wp:posOffset>
            </wp:positionV>
            <wp:extent cx="76835"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-1199515</wp:posOffset>
            </wp:positionV>
            <wp:extent cx="68580"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-1199515</wp:posOffset>
            </wp:positionV>
            <wp:extent cx="68580"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-1199515</wp:posOffset>
            </wp:positionV>
            <wp:extent cx="6858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2799080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556260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404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4"/>
              </w:rPr>
              <w:t>MKS Instruments, Inc.</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404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88"/>
              </w:rPr>
              <w:t>Unaudited Consolidated Balance Sheet</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404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3"/>
              </w:rPr>
              <w:t>(In millions)</w:t>
            </w:r>
          </w:p>
        </w:tc>
        <w:tc>
          <w:tcPr>
            <w:tcW w:w="1560" w:type="dxa"/>
            <w:vAlign w:val="bottom"/>
            <w:vMerge w:val="restart"/>
          </w:tcPr>
          <w:p>
            <w:pPr>
              <w:jc w:val="right"/>
              <w:ind w:right="310"/>
              <w:spacing w:after="0"/>
              <w:rPr>
                <w:sz w:val="20"/>
                <w:szCs w:val="20"/>
                <w:color w:val="auto"/>
              </w:rPr>
            </w:pPr>
            <w:r>
              <w:rPr>
                <w:rFonts w:ascii="Arial" w:cs="Arial" w:eastAsia="Arial" w:hAnsi="Arial"/>
                <w:sz w:val="18"/>
                <w:szCs w:val="18"/>
                <w:color w:val="auto"/>
              </w:rPr>
              <w:t>December 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3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40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investments</w:t>
            </w:r>
          </w:p>
        </w:tc>
        <w:tc>
          <w:tcPr>
            <w:tcW w:w="3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Trade accounts receivable, net</w:t>
            </w:r>
          </w:p>
        </w:tc>
        <w:tc>
          <w:tcPr>
            <w:tcW w:w="3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Inventories</w:t>
            </w:r>
          </w:p>
        </w:tc>
        <w:tc>
          <w:tcPr>
            <w:tcW w:w="3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current assets</w:t>
            </w:r>
          </w:p>
        </w:tc>
        <w:tc>
          <w:tcPr>
            <w:tcW w:w="3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assets</w:t>
            </w:r>
          </w:p>
        </w:tc>
        <w:tc>
          <w:tcPr>
            <w:tcW w:w="3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Goodwill</w:t>
            </w:r>
          </w:p>
        </w:tc>
        <w:tc>
          <w:tcPr>
            <w:tcW w:w="3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3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assets</w:t>
            </w:r>
          </w:p>
        </w:tc>
        <w:tc>
          <w:tcPr>
            <w:tcW w:w="37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11,495</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debt</w:t>
            </w:r>
          </w:p>
        </w:tc>
        <w:tc>
          <w:tcPr>
            <w:tcW w:w="40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compensation</w:t>
            </w:r>
          </w:p>
        </w:tc>
        <w:tc>
          <w:tcPr>
            <w:tcW w:w="3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3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liabilities</w:t>
            </w:r>
          </w:p>
        </w:tc>
        <w:tc>
          <w:tcPr>
            <w:tcW w:w="3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Deferred revenue and customer advances</w:t>
            </w:r>
          </w:p>
        </w:tc>
        <w:tc>
          <w:tcPr>
            <w:tcW w:w="3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current liabilities</w:t>
            </w:r>
          </w:p>
        </w:tc>
        <w:tc>
          <w:tcPr>
            <w:tcW w:w="37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3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 net</w:t>
            </w:r>
          </w:p>
        </w:tc>
        <w:tc>
          <w:tcPr>
            <w:tcW w:w="3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Non-current deferred taxes</w:t>
            </w:r>
          </w:p>
        </w:tc>
        <w:tc>
          <w:tcPr>
            <w:tcW w:w="3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accrued compensation</w:t>
            </w:r>
          </w:p>
        </w:tc>
        <w:tc>
          <w:tcPr>
            <w:tcW w:w="3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Non-current lease liability</w:t>
            </w:r>
          </w:p>
        </w:tc>
        <w:tc>
          <w:tcPr>
            <w:tcW w:w="3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37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0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3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7,012</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3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3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Additional paid-in capital</w:t>
            </w:r>
          </w:p>
        </w:tc>
        <w:tc>
          <w:tcPr>
            <w:tcW w:w="3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3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3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7"/>
        </w:trPr>
        <w:tc>
          <w:tcPr>
            <w:tcW w:w="400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Total stockholders' equity</w:t>
            </w:r>
          </w:p>
        </w:tc>
        <w:tc>
          <w:tcPr>
            <w:tcW w:w="378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4,483</w:t>
            </w: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2,887</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7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11,495</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94"/>
        </w:trPr>
        <w:tc>
          <w:tcPr>
            <w:tcW w:w="400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-5219700</wp:posOffset>
            </wp:positionV>
            <wp:extent cx="1036955" cy="180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36955" cy="18034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-3959860</wp:posOffset>
            </wp:positionV>
            <wp:extent cx="6858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-3025140</wp:posOffset>
            </wp:positionV>
            <wp:extent cx="6858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-3025140</wp:posOffset>
            </wp:positionV>
            <wp:extent cx="6858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-2082165</wp:posOffset>
            </wp:positionV>
            <wp:extent cx="6858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-1757045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-1739265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-1757045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6"/>
                <w:szCs w:val="16"/>
                <w:color w:val="auto"/>
              </w:rPr>
              <w:t>Three Months Ended</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color w:val="auto"/>
              </w:rPr>
              <w:t>Twelve Months Ended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w w:val="91"/>
              </w:rPr>
              <w:t>December 31,</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September 30,</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December 31,</w:t>
            </w:r>
          </w:p>
        </w:tc>
        <w:tc>
          <w:tcPr>
            <w:tcW w:w="1080" w:type="dxa"/>
            <w:vAlign w:val="bottom"/>
            <w:gridSpan w:val="3"/>
          </w:tcPr>
          <w:p>
            <w:pPr>
              <w:jc w:val="right"/>
              <w:ind w:right="140"/>
              <w:spacing w:after="0"/>
              <w:rPr>
                <w:sz w:val="20"/>
                <w:szCs w:val="20"/>
                <w:color w:val="auto"/>
              </w:rPr>
            </w:pPr>
            <w:r>
              <w:rPr>
                <w:rFonts w:ascii="Arial" w:cs="Arial" w:eastAsia="Arial" w:hAnsi="Arial"/>
                <w:sz w:val="16"/>
                <w:szCs w:val="16"/>
                <w:color w:val="auto"/>
                <w:w w:val="91"/>
              </w:rPr>
              <w:t>December 31,</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w w:val="89"/>
              </w:rPr>
              <w:t>December 31,</w:t>
            </w:r>
          </w:p>
        </w:tc>
        <w:tc>
          <w:tcPr>
            <w:tcW w:w="0" w:type="dxa"/>
            <w:vAlign w:val="bottom"/>
          </w:tcPr>
          <w:p>
            <w:pPr>
              <w:spacing w:after="0"/>
              <w:rPr>
                <w:sz w:val="1"/>
                <w:szCs w:val="1"/>
                <w:color w:val="auto"/>
              </w:rPr>
            </w:pPr>
          </w:p>
        </w:tc>
      </w:tr>
      <w:tr>
        <w:trPr>
          <w:trHeight w:val="243"/>
        </w:trPr>
        <w:tc>
          <w:tcPr>
            <w:tcW w:w="5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operating activities:</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8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19"/>
                <w:szCs w:val="19"/>
                <w:color w:val="auto"/>
              </w:rPr>
            </w:pP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activities:</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8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Amortization of inventory step-up adjustment to fair value</w:t>
            </w: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5180" w:type="dxa"/>
            <w:vAlign w:val="bottom"/>
          </w:tcPr>
          <w:p>
            <w:pPr>
              <w:ind w:left="380"/>
              <w:spacing w:after="0"/>
              <w:rPr>
                <w:sz w:val="20"/>
                <w:szCs w:val="20"/>
                <w:color w:val="auto"/>
              </w:rPr>
            </w:pPr>
            <w:r>
              <w:rPr>
                <w:rFonts w:ascii="Arial" w:cs="Arial" w:eastAsia="Arial" w:hAnsi="Arial"/>
                <w:sz w:val="16"/>
                <w:szCs w:val="16"/>
                <w:color w:val="auto"/>
              </w:rPr>
              <w:t>Unrealized loss (gain) on derivatives not designated as hedging</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80"/>
              <w:spacing w:after="0"/>
              <w:rPr>
                <w:sz w:val="20"/>
                <w:szCs w:val="20"/>
                <w:color w:val="auto"/>
              </w:rPr>
            </w:pPr>
            <w:r>
              <w:rPr>
                <w:rFonts w:ascii="Arial" w:cs="Arial" w:eastAsia="Arial" w:hAnsi="Arial"/>
                <w:sz w:val="16"/>
                <w:szCs w:val="16"/>
                <w:color w:val="auto"/>
              </w:rPr>
              <w:t>instruments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(3 )</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39"/>
        </w:trPr>
        <w:tc>
          <w:tcPr>
            <w:tcW w:w="5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Amortization of debt issuance costs and original issue discount</w:t>
            </w: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180" w:type="dxa"/>
            <w:vAlign w:val="bottom"/>
          </w:tcPr>
          <w:p>
            <w:pPr>
              <w:ind w:left="380"/>
              <w:spacing w:after="0"/>
              <w:rPr>
                <w:sz w:val="20"/>
                <w:szCs w:val="20"/>
                <w:color w:val="auto"/>
              </w:rPr>
            </w:pPr>
            <w:r>
              <w:rPr>
                <w:rFonts w:ascii="Arial" w:cs="Arial" w:eastAsia="Arial" w:hAnsi="Arial"/>
                <w:sz w:val="16"/>
                <w:szCs w:val="16"/>
                <w:color w:val="auto"/>
              </w:rPr>
              <w:t>Gain on sale of long-lived assets</w:t>
            </w: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(7 )</w:t>
            </w:r>
          </w:p>
        </w:tc>
        <w:tc>
          <w:tcPr>
            <w:tcW w:w="1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5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Stock-based compensation</w:t>
            </w: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180" w:type="dxa"/>
            <w:vAlign w:val="bottom"/>
          </w:tcPr>
          <w:p>
            <w:pPr>
              <w:ind w:left="380"/>
              <w:spacing w:after="0"/>
              <w:rPr>
                <w:sz w:val="20"/>
                <w:szCs w:val="20"/>
                <w:color w:val="auto"/>
              </w:rPr>
            </w:pPr>
            <w:r>
              <w:rPr>
                <w:rFonts w:ascii="Arial" w:cs="Arial" w:eastAsia="Arial" w:hAnsi="Arial"/>
                <w:sz w:val="16"/>
                <w:szCs w:val="16"/>
                <w:color w:val="auto"/>
              </w:rPr>
              <w:t>Provision for excess and obsolete inventory</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Deferred income taxes</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(50 )</w:t>
            </w: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(6 )</w:t>
            </w:r>
          </w:p>
        </w:tc>
        <w:tc>
          <w:tcPr>
            <w:tcW w:w="2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(46 )</w:t>
            </w: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180" w:type="dxa"/>
            <w:vAlign w:val="bottom"/>
          </w:tcPr>
          <w:p>
            <w:pPr>
              <w:ind w:left="38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ind w:left="380"/>
              <w:spacing w:after="0"/>
              <w:rPr>
                <w:sz w:val="20"/>
                <w:szCs w:val="20"/>
                <w:color w:val="auto"/>
              </w:rPr>
            </w:pPr>
            <w:r>
              <w:rPr>
                <w:rFonts w:ascii="Arial" w:cs="Arial" w:eastAsia="Arial" w:hAnsi="Arial"/>
                <w:sz w:val="16"/>
                <w:szCs w:val="16"/>
                <w:color w:val="auto"/>
                <w:w w:val="96"/>
              </w:rPr>
              <w:t>Changes in operating assets and liabilities, net of acquired assets and</w:t>
            </w:r>
          </w:p>
        </w:tc>
        <w:tc>
          <w:tcPr>
            <w:tcW w:w="100" w:type="dxa"/>
            <w:vAlign w:val="bottom"/>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(157 )</w:t>
            </w:r>
          </w:p>
        </w:tc>
        <w:tc>
          <w:tcPr>
            <w:tcW w:w="100" w:type="dxa"/>
            <w:vAlign w:val="bottom"/>
            <w:shd w:val="clear" w:color="auto" w:fill="CFF0FC"/>
          </w:tcPr>
          <w:p>
            <w:pPr>
              <w:spacing w:after="0"/>
              <w:rPr>
                <w:sz w:val="18"/>
                <w:szCs w:val="18"/>
                <w:color w:val="auto"/>
              </w:rPr>
            </w:pPr>
          </w:p>
        </w:tc>
        <w:tc>
          <w:tcPr>
            <w:tcW w:w="11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(72 )</w:t>
            </w:r>
          </w:p>
        </w:tc>
        <w:tc>
          <w:tcPr>
            <w:tcW w:w="0" w:type="dxa"/>
            <w:vAlign w:val="bottom"/>
          </w:tcPr>
          <w:p>
            <w:pPr>
              <w:spacing w:after="0"/>
              <w:rPr>
                <w:sz w:val="1"/>
                <w:szCs w:val="1"/>
                <w:color w:val="auto"/>
              </w:rPr>
            </w:pPr>
          </w:p>
        </w:tc>
      </w:tr>
      <w:tr>
        <w:trPr>
          <w:trHeight w:val="209"/>
        </w:trPr>
        <w:tc>
          <w:tcPr>
            <w:tcW w:w="5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liabilities</w:t>
            </w:r>
          </w:p>
        </w:tc>
        <w:tc>
          <w:tcPr>
            <w:tcW w:w="100" w:type="dxa"/>
            <w:vAlign w:val="bottom"/>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Borders>
              <w:top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Borders>
              <w:top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Borders>
              <w:top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529</w:t>
            </w:r>
          </w:p>
        </w:tc>
        <w:tc>
          <w:tcPr>
            <w:tcW w:w="100" w:type="dxa"/>
            <w:vAlign w:val="bottom"/>
            <w:tcBorders>
              <w:top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640</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investing activities:</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80" w:type="dxa"/>
            <w:vAlign w:val="bottom"/>
          </w:tcPr>
          <w:p>
            <w:pPr>
              <w:ind w:left="380"/>
              <w:spacing w:after="0"/>
              <w:rPr>
                <w:sz w:val="20"/>
                <w:szCs w:val="20"/>
                <w:color w:val="auto"/>
              </w:rPr>
            </w:pPr>
            <w:r>
              <w:rPr>
                <w:rFonts w:ascii="Arial" w:cs="Arial" w:eastAsia="Arial" w:hAnsi="Arial"/>
                <w:sz w:val="16"/>
                <w:szCs w:val="16"/>
                <w:color w:val="auto"/>
              </w:rPr>
              <w:t>Acquisition of business, net of cash acquired</w:t>
            </w: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(4,473 )</w:t>
            </w:r>
          </w:p>
        </w:tc>
        <w:tc>
          <w:tcPr>
            <w:tcW w:w="1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(4,473 )</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(268 )</w:t>
            </w:r>
          </w:p>
        </w:tc>
        <w:tc>
          <w:tcPr>
            <w:tcW w:w="0" w:type="dxa"/>
            <w:vAlign w:val="bottom"/>
          </w:tcPr>
          <w:p>
            <w:pPr>
              <w:spacing w:after="0"/>
              <w:rPr>
                <w:sz w:val="1"/>
                <w:szCs w:val="1"/>
                <w:color w:val="auto"/>
              </w:rPr>
            </w:pPr>
          </w:p>
        </w:tc>
      </w:tr>
      <w:tr>
        <w:trPr>
          <w:trHeight w:val="239"/>
        </w:trPr>
        <w:tc>
          <w:tcPr>
            <w:tcW w:w="5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Purchases of investments</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(497 )</w:t>
            </w:r>
          </w:p>
        </w:tc>
        <w:tc>
          <w:tcPr>
            <w:tcW w:w="0" w:type="dxa"/>
            <w:vAlign w:val="bottom"/>
          </w:tcPr>
          <w:p>
            <w:pPr>
              <w:spacing w:after="0"/>
              <w:rPr>
                <w:sz w:val="1"/>
                <w:szCs w:val="1"/>
                <w:color w:val="auto"/>
              </w:rPr>
            </w:pPr>
          </w:p>
        </w:tc>
      </w:tr>
      <w:tr>
        <w:trPr>
          <w:trHeight w:val="220"/>
        </w:trPr>
        <w:tc>
          <w:tcPr>
            <w:tcW w:w="5180" w:type="dxa"/>
            <w:vAlign w:val="bottom"/>
          </w:tcPr>
          <w:p>
            <w:pPr>
              <w:ind w:left="380"/>
              <w:spacing w:after="0"/>
              <w:rPr>
                <w:sz w:val="20"/>
                <w:szCs w:val="20"/>
                <w:color w:val="auto"/>
              </w:rPr>
            </w:pPr>
            <w:r>
              <w:rPr>
                <w:rFonts w:ascii="Arial" w:cs="Arial" w:eastAsia="Arial" w:hAnsi="Arial"/>
                <w:sz w:val="16"/>
                <w:szCs w:val="16"/>
                <w:color w:val="auto"/>
              </w:rPr>
              <w:t>Maturities of investments</w:t>
            </w: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Sales of investments</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180" w:type="dxa"/>
            <w:vAlign w:val="bottom"/>
          </w:tcPr>
          <w:p>
            <w:pPr>
              <w:ind w:left="380"/>
              <w:spacing w:after="0"/>
              <w:rPr>
                <w:sz w:val="20"/>
                <w:szCs w:val="20"/>
                <w:color w:val="auto"/>
              </w:rPr>
            </w:pPr>
            <w:r>
              <w:rPr>
                <w:rFonts w:ascii="Arial" w:cs="Arial" w:eastAsia="Arial" w:hAnsi="Arial"/>
                <w:sz w:val="16"/>
                <w:szCs w:val="16"/>
                <w:color w:val="auto"/>
              </w:rPr>
              <w:t>Proceeds from sale of long-lived assets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Purchases of property, plant and equipment</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(54 )</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(26 )</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(23 )</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(164 )</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(87 )</w:t>
            </w:r>
          </w:p>
        </w:tc>
        <w:tc>
          <w:tcPr>
            <w:tcW w:w="0" w:type="dxa"/>
            <w:vAlign w:val="bottom"/>
          </w:tcPr>
          <w:p>
            <w:pPr>
              <w:spacing w:after="0"/>
              <w:rPr>
                <w:sz w:val="1"/>
                <w:szCs w:val="1"/>
                <w:color w:val="auto"/>
              </w:rPr>
            </w:pPr>
          </w:p>
        </w:tc>
      </w:tr>
      <w:tr>
        <w:trPr>
          <w:trHeight w:val="23"/>
        </w:trPr>
        <w:tc>
          <w:tcPr>
            <w:tcW w:w="518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1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(53 )</w:t>
            </w:r>
          </w:p>
        </w:tc>
        <w:tc>
          <w:tcPr>
            <w:tcW w:w="1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(4,499 )</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(4,552 )</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(205 )</w:t>
            </w: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financing activities:</w:t>
            </w: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80" w:type="dxa"/>
            <w:vAlign w:val="bottom"/>
          </w:tcPr>
          <w:p>
            <w:pPr>
              <w:ind w:left="380"/>
              <w:spacing w:after="0"/>
              <w:rPr>
                <w:sz w:val="20"/>
                <w:szCs w:val="20"/>
                <w:color w:val="auto"/>
              </w:rPr>
            </w:pPr>
            <w:r>
              <w:rPr>
                <w:rFonts w:ascii="Arial" w:cs="Arial" w:eastAsia="Arial" w:hAnsi="Arial"/>
                <w:sz w:val="16"/>
                <w:szCs w:val="16"/>
                <w:color w:val="auto"/>
              </w:rPr>
              <w:t>Proceeds from borrowings, net of deferred financing fees paid</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Payments of borrowings</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(127 )</w:t>
            </w: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(826 )</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(2 )</w:t>
            </w:r>
          </w:p>
        </w:tc>
        <w:tc>
          <w:tcPr>
            <w:tcW w:w="2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(962 )</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20"/>
        </w:trPr>
        <w:tc>
          <w:tcPr>
            <w:tcW w:w="5180" w:type="dxa"/>
            <w:vAlign w:val="bottom"/>
          </w:tcPr>
          <w:p>
            <w:pPr>
              <w:ind w:left="380"/>
              <w:spacing w:after="0"/>
              <w:rPr>
                <w:sz w:val="20"/>
                <w:szCs w:val="20"/>
                <w:color w:val="auto"/>
              </w:rPr>
            </w:pPr>
            <w:r>
              <w:rPr>
                <w:rFonts w:ascii="Arial" w:cs="Arial" w:eastAsia="Arial" w:hAnsi="Arial"/>
                <w:sz w:val="16"/>
                <w:szCs w:val="16"/>
                <w:color w:val="auto"/>
              </w:rPr>
              <w:t>Payments of finance leases</w:t>
            </w:r>
          </w:p>
        </w:tc>
        <w:tc>
          <w:tcPr>
            <w:tcW w:w="1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5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Dividend payments</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(12 )</w:t>
            </w:r>
          </w:p>
        </w:tc>
        <w:tc>
          <w:tcPr>
            <w:tcW w:w="2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(52 )</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20"/>
        </w:trPr>
        <w:tc>
          <w:tcPr>
            <w:tcW w:w="5180" w:type="dxa"/>
            <w:vAlign w:val="bottom"/>
          </w:tcPr>
          <w:p>
            <w:pPr>
              <w:ind w:left="380"/>
              <w:spacing w:after="0"/>
              <w:rPr>
                <w:sz w:val="20"/>
                <w:szCs w:val="20"/>
                <w:color w:val="auto"/>
              </w:rPr>
            </w:pPr>
            <w:r>
              <w:rPr>
                <w:rFonts w:ascii="Arial" w:cs="Arial" w:eastAsia="Arial" w:hAnsi="Arial"/>
                <w:sz w:val="16"/>
                <w:szCs w:val="16"/>
                <w:color w:val="auto"/>
              </w:rPr>
              <w:t>Net proceeds (payments) related to employee stock awards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(137 )</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(3 )</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23"/>
        </w:trPr>
        <w:tc>
          <w:tcPr>
            <w:tcW w:w="518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18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(5 )</w:t>
            </w: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Increase (decrease) in cash and cash equivalents</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(181 )</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(57 )</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884</w:t>
            </w:r>
          </w:p>
        </w:tc>
        <w:tc>
          <w:tcPr>
            <w:tcW w:w="120" w:type="dxa"/>
            <w:vAlign w:val="bottom"/>
            <w:tcBorders>
              <w:top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1,065</w:t>
            </w:r>
          </w:p>
        </w:tc>
        <w:tc>
          <w:tcPr>
            <w:tcW w:w="120" w:type="dxa"/>
            <w:vAlign w:val="bottom"/>
            <w:tcBorders>
              <w:top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633</w:t>
            </w:r>
          </w:p>
        </w:tc>
        <w:tc>
          <w:tcPr>
            <w:tcW w:w="120" w:type="dxa"/>
            <w:vAlign w:val="bottom"/>
            <w:tcBorders>
              <w:top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966</w:t>
            </w:r>
          </w:p>
        </w:tc>
        <w:tc>
          <w:tcPr>
            <w:tcW w:w="100" w:type="dxa"/>
            <w:vAlign w:val="bottom"/>
            <w:tcBorders>
              <w:top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608</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909</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884</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966</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909</w:t>
            </w:r>
          </w:p>
        </w:tc>
        <w:tc>
          <w:tcPr>
            <w:tcW w:w="1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722"/>
        </w:trPr>
        <w:tc>
          <w:tcPr>
            <w:tcW w:w="5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-4131310</wp:posOffset>
            </wp:positionV>
            <wp:extent cx="76835"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-4131310</wp:posOffset>
            </wp:positionV>
            <wp:extent cx="68580"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-4131310</wp:posOffset>
            </wp:positionV>
            <wp:extent cx="68580" cy="162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-4131310</wp:posOffset>
            </wp:positionV>
            <wp:extent cx="68580" cy="162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-4131310</wp:posOffset>
            </wp:positionV>
            <wp:extent cx="68580" cy="162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-2948305</wp:posOffset>
            </wp:positionV>
            <wp:extent cx="76835"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-2948305</wp:posOffset>
            </wp:positionV>
            <wp:extent cx="68580" cy="162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-2948305</wp:posOffset>
            </wp:positionV>
            <wp:extent cx="68580" cy="162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-2948305</wp:posOffset>
            </wp:positionV>
            <wp:extent cx="68580" cy="162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-2948305</wp:posOffset>
            </wp:positionV>
            <wp:extent cx="68580" cy="162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-1756410</wp:posOffset>
            </wp:positionV>
            <wp:extent cx="76835"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-1756410</wp:posOffset>
            </wp:positionV>
            <wp:extent cx="68580"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-1756410</wp:posOffset>
            </wp:positionV>
            <wp:extent cx="6858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-1756410</wp:posOffset>
            </wp:positionV>
            <wp:extent cx="68580"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-1756410</wp:posOffset>
            </wp:positionV>
            <wp:extent cx="6858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-1447800</wp:posOffset>
            </wp:positionV>
            <wp:extent cx="76835"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-1447800</wp:posOffset>
            </wp:positionV>
            <wp:extent cx="6858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-1447800</wp:posOffset>
            </wp:positionV>
            <wp:extent cx="68580"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-1447800</wp:posOffset>
            </wp:positionV>
            <wp:extent cx="68580"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-1139190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-1122045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-1139190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-1122045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-1139190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-1122045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-1139190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-1122045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1636395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The following supplemental Non-GAAP earnings information is presented to aid in understanding MKS’ operating results: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Reconciling Selected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color w:val="auto"/>
                <w:w w:val="90"/>
              </w:rPr>
              <w:t>Three Months Ended</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color w:val="auto"/>
              </w:rPr>
              <w:t>Twelve Months Ended</w:t>
            </w:r>
          </w:p>
        </w:tc>
        <w:tc>
          <w:tcPr>
            <w:tcW w:w="100" w:type="dxa"/>
            <w:vAlign w:val="bottom"/>
          </w:tcPr>
          <w:p>
            <w:pPr>
              <w:spacing w:after="0"/>
              <w:rPr>
                <w:sz w:val="19"/>
                <w:szCs w:val="19"/>
                <w:color w:val="auto"/>
              </w:rPr>
            </w:pPr>
          </w:p>
        </w:tc>
      </w:tr>
      <w:tr>
        <w:trPr>
          <w:trHeight w:val="210"/>
        </w:trPr>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w w:val="95"/>
              </w:rPr>
              <w:t>December 31,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w w:val="93"/>
              </w:rPr>
              <w:t>September 30,</w:t>
            </w:r>
          </w:p>
        </w:tc>
        <w:tc>
          <w:tcPr>
            <w:tcW w:w="1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w w:val="93"/>
              </w:rPr>
              <w:t>December 31,</w:t>
            </w:r>
          </w:p>
        </w:tc>
        <w:tc>
          <w:tcPr>
            <w:tcW w:w="14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w w:val="95"/>
              </w:rPr>
              <w:t>December 31,</w:t>
            </w:r>
          </w:p>
        </w:tc>
        <w:tc>
          <w:tcPr>
            <w:tcW w:w="1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w w:val="93"/>
              </w:rPr>
              <w:t>December 31,</w:t>
            </w:r>
          </w:p>
        </w:tc>
      </w:tr>
      <w:tr>
        <w:trPr>
          <w:trHeight w:val="243"/>
        </w:trPr>
        <w:tc>
          <w:tcPr>
            <w:tcW w:w="39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1"/>
                <w:szCs w:val="21"/>
                <w:color w:val="auto"/>
              </w:rPr>
            </w:pPr>
          </w:p>
        </w:tc>
      </w:tr>
      <w:tr>
        <w:trPr>
          <w:trHeight w:val="229"/>
        </w:trPr>
        <w:tc>
          <w:tcPr>
            <w:tcW w:w="3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551</w:t>
            </w:r>
          </w:p>
        </w:tc>
        <w:tc>
          <w:tcPr>
            <w:tcW w:w="100" w:type="dxa"/>
            <w:vAlign w:val="bottom"/>
            <w:shd w:val="clear" w:color="auto" w:fill="CFF0FC"/>
          </w:tcPr>
          <w:p>
            <w:pPr>
              <w:spacing w:after="0"/>
              <w:rPr>
                <w:sz w:val="19"/>
                <w:szCs w:val="19"/>
                <w:color w:val="auto"/>
              </w:rPr>
            </w:pPr>
          </w:p>
        </w:tc>
      </w:tr>
      <w:tr>
        <w:trPr>
          <w:trHeight w:val="220"/>
        </w:trPr>
        <w:tc>
          <w:tcPr>
            <w:tcW w:w="3940" w:type="dxa"/>
            <w:vAlign w:val="bottom"/>
          </w:tcPr>
          <w:p>
            <w:pPr>
              <w:ind w:left="200"/>
              <w:spacing w:after="0"/>
              <w:rPr>
                <w:sz w:val="20"/>
                <w:szCs w:val="20"/>
                <w:color w:val="auto"/>
              </w:rPr>
            </w:pPr>
            <w:r>
              <w:rPr>
                <w:rFonts w:ascii="Arial" w:cs="Arial" w:eastAsia="Arial" w:hAnsi="Arial"/>
                <w:sz w:val="16"/>
                <w:szCs w:val="16"/>
                <w:color w:val="auto"/>
              </w:rPr>
              <w:t>Acquisition and integration costs (Note 1)</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9"/>
                <w:szCs w:val="19"/>
                <w:color w:val="auto"/>
              </w:rPr>
            </w:pPr>
          </w:p>
        </w:tc>
      </w:tr>
      <w:tr>
        <w:trPr>
          <w:trHeight w:val="239"/>
        </w:trPr>
        <w:tc>
          <w:tcPr>
            <w:tcW w:w="3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Acquisition inventory step-up (Note 2)</w:t>
            </w: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3940" w:type="dxa"/>
            <w:vAlign w:val="bottom"/>
          </w:tcPr>
          <w:p>
            <w:pPr>
              <w:ind w:left="200"/>
              <w:spacing w:after="0"/>
              <w:rPr>
                <w:sz w:val="20"/>
                <w:szCs w:val="20"/>
                <w:color w:val="auto"/>
              </w:rPr>
            </w:pPr>
            <w:r>
              <w:rPr>
                <w:rFonts w:ascii="Arial" w:cs="Arial" w:eastAsia="Arial" w:hAnsi="Arial"/>
                <w:sz w:val="16"/>
                <w:szCs w:val="16"/>
                <w:color w:val="auto"/>
              </w:rPr>
              <w:t>Amortization of debt issuance costs (Note 3)</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r>
      <w:tr>
        <w:trPr>
          <w:trHeight w:val="239"/>
        </w:trPr>
        <w:tc>
          <w:tcPr>
            <w:tcW w:w="3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Restructuring and other (Note 4)</w:t>
            </w: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FF0FC"/>
          </w:tcPr>
          <w:p>
            <w:pPr>
              <w:spacing w:after="0"/>
              <w:rPr>
                <w:sz w:val="20"/>
                <w:szCs w:val="20"/>
                <w:color w:val="auto"/>
              </w:rPr>
            </w:pPr>
          </w:p>
        </w:tc>
      </w:tr>
      <w:tr>
        <w:trPr>
          <w:trHeight w:val="220"/>
        </w:trPr>
        <w:tc>
          <w:tcPr>
            <w:tcW w:w="3940" w:type="dxa"/>
            <w:vAlign w:val="bottom"/>
          </w:tcPr>
          <w:p>
            <w:pPr>
              <w:ind w:left="20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9"/>
                <w:szCs w:val="19"/>
                <w:color w:val="auto"/>
              </w:rPr>
            </w:pPr>
          </w:p>
        </w:tc>
      </w:tr>
      <w:tr>
        <w:trPr>
          <w:trHeight w:val="239"/>
        </w:trPr>
        <w:tc>
          <w:tcPr>
            <w:tcW w:w="3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Gain on sale of long-lived assets (Note 5)</w:t>
            </w:r>
          </w:p>
        </w:tc>
        <w:tc>
          <w:tcPr>
            <w:tcW w:w="1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(7 )</w:t>
            </w: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3940" w:type="dxa"/>
            <w:vAlign w:val="bottom"/>
          </w:tcPr>
          <w:p>
            <w:pPr>
              <w:ind w:left="200"/>
              <w:spacing w:after="0"/>
              <w:rPr>
                <w:sz w:val="20"/>
                <w:szCs w:val="20"/>
                <w:color w:val="auto"/>
              </w:rPr>
            </w:pPr>
            <w:r>
              <w:rPr>
                <w:rFonts w:ascii="Arial" w:cs="Arial" w:eastAsia="Arial" w:hAnsi="Arial"/>
                <w:sz w:val="16"/>
                <w:szCs w:val="16"/>
                <w:color w:val="auto"/>
              </w:rPr>
              <w:t>Currency hedge (gain) loss (Note 6)</w:t>
            </w:r>
          </w:p>
        </w:tc>
        <w:tc>
          <w:tcPr>
            <w:tcW w:w="18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(3 )</w:t>
            </w:r>
          </w:p>
        </w:tc>
        <w:tc>
          <w:tcPr>
            <w:tcW w:w="1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(5 )</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r>
      <w:tr>
        <w:trPr>
          <w:trHeight w:val="239"/>
        </w:trPr>
        <w:tc>
          <w:tcPr>
            <w:tcW w:w="3940" w:type="dxa"/>
            <w:vAlign w:val="bottom"/>
            <w:shd w:val="clear" w:color="auto" w:fill="CFF0FC"/>
          </w:tcPr>
          <w:p>
            <w:pPr>
              <w:ind w:left="200"/>
              <w:spacing w:after="0"/>
              <w:rPr>
                <w:sz w:val="20"/>
                <w:szCs w:val="20"/>
                <w:color w:val="auto"/>
              </w:rPr>
            </w:pPr>
            <w:r>
              <w:rPr>
                <w:rFonts w:ascii="Arial" w:cs="Arial" w:eastAsia="Arial" w:hAnsi="Arial"/>
                <w:sz w:val="16"/>
                <w:szCs w:val="16"/>
                <w:color w:val="auto"/>
                <w:w w:val="98"/>
              </w:rPr>
              <w:t>Reversal of indefinite reinvestment assertion (Note 7)</w:t>
            </w:r>
          </w:p>
        </w:tc>
        <w:tc>
          <w:tcPr>
            <w:tcW w:w="1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6"/>
        </w:trPr>
        <w:tc>
          <w:tcPr>
            <w:tcW w:w="3940" w:type="dxa"/>
            <w:vAlign w:val="bottom"/>
          </w:tcPr>
          <w:p>
            <w:pPr>
              <w:ind w:left="200"/>
              <w:spacing w:after="0"/>
              <w:rPr>
                <w:sz w:val="20"/>
                <w:szCs w:val="20"/>
                <w:color w:val="auto"/>
              </w:rPr>
            </w:pPr>
            <w:r>
              <w:rPr>
                <w:rFonts w:ascii="Arial" w:cs="Arial" w:eastAsia="Arial" w:hAnsi="Arial"/>
                <w:sz w:val="16"/>
                <w:szCs w:val="16"/>
                <w:color w:val="auto"/>
                <w:w w:val="93"/>
              </w:rPr>
              <w:t>Windfall tax benefit on stock-based compensation (Note</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940" w:type="dxa"/>
            <w:vAlign w:val="bottom"/>
          </w:tcPr>
          <w:p>
            <w:pPr>
              <w:ind w:left="200"/>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(1 )</w:t>
            </w:r>
          </w:p>
        </w:tc>
        <w:tc>
          <w:tcPr>
            <w:tcW w:w="1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(4 )</w:t>
            </w:r>
          </w:p>
        </w:tc>
      </w:tr>
      <w:tr>
        <w:trPr>
          <w:trHeight w:val="239"/>
        </w:trPr>
        <w:tc>
          <w:tcPr>
            <w:tcW w:w="3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Withholding tax related to Brexit (Note 9)</w:t>
            </w:r>
          </w:p>
        </w:tc>
        <w:tc>
          <w:tcPr>
            <w:tcW w:w="1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20"/>
                <w:szCs w:val="20"/>
                <w:color w:val="auto"/>
              </w:rPr>
            </w:pPr>
          </w:p>
        </w:tc>
      </w:tr>
      <w:tr>
        <w:trPr>
          <w:trHeight w:val="223"/>
        </w:trPr>
        <w:tc>
          <w:tcPr>
            <w:tcW w:w="3940" w:type="dxa"/>
            <w:vAlign w:val="bottom"/>
          </w:tcPr>
          <w:p>
            <w:pPr>
              <w:ind w:left="200"/>
              <w:spacing w:after="0"/>
              <w:rPr>
                <w:sz w:val="20"/>
                <w:szCs w:val="20"/>
                <w:color w:val="auto"/>
              </w:rPr>
            </w:pPr>
            <w:r>
              <w:rPr>
                <w:rFonts w:ascii="Arial" w:cs="Arial" w:eastAsia="Arial" w:hAnsi="Arial"/>
                <w:sz w:val="16"/>
                <w:szCs w:val="16"/>
                <w:color w:val="auto"/>
              </w:rPr>
              <w:t>Tax effect of Non-GAAP adjustments (Note 10)</w:t>
            </w:r>
          </w:p>
        </w:tc>
        <w:tc>
          <w:tcPr>
            <w:tcW w:w="1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(22 )</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(34 )</w:t>
            </w: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(4 )</w:t>
            </w:r>
          </w:p>
        </w:tc>
        <w:tc>
          <w:tcPr>
            <w:tcW w:w="1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(64 )</w:t>
            </w: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(20 )</w:t>
            </w:r>
          </w:p>
        </w:tc>
      </w:tr>
      <w:tr>
        <w:trPr>
          <w:trHeight w:val="263"/>
        </w:trPr>
        <w:tc>
          <w:tcPr>
            <w:tcW w:w="3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Non-GAAP net earnings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w:t>
            </w:r>
          </w:p>
        </w:tc>
        <w:tc>
          <w:tcPr>
            <w:tcW w:w="8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3940" w:type="dxa"/>
            <w:vAlign w:val="bottom"/>
          </w:tcPr>
          <w:p>
            <w:pPr>
              <w:ind w:left="20"/>
              <w:spacing w:after="0"/>
              <w:rPr>
                <w:sz w:val="20"/>
                <w:szCs w:val="20"/>
                <w:color w:val="auto"/>
              </w:rPr>
            </w:pPr>
            <w:r>
              <w:rPr>
                <w:rFonts w:ascii="Arial" w:cs="Arial" w:eastAsia="Arial" w:hAnsi="Arial"/>
                <w:sz w:val="16"/>
                <w:szCs w:val="16"/>
                <w:color w:val="auto"/>
              </w:rPr>
              <w:t>Non-GAAP net earnings per diluted share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2.00</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9.97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11.38</w:t>
            </w:r>
          </w:p>
        </w:tc>
        <w:tc>
          <w:tcPr>
            <w:tcW w:w="100" w:type="dxa"/>
            <w:vAlign w:val="bottom"/>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3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 average diluted shares outstanding</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66.7</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FF0FC"/>
          </w:tcPr>
          <w:p>
            <w:pPr>
              <w:spacing w:after="0"/>
              <w:rPr>
                <w:sz w:val="18"/>
                <w:szCs w:val="18"/>
                <w:color w:val="auto"/>
              </w:rPr>
            </w:pPr>
          </w:p>
        </w:tc>
      </w:tr>
      <w:tr>
        <w:trPr>
          <w:trHeight w:val="230"/>
        </w:trPr>
        <w:tc>
          <w:tcPr>
            <w:tcW w:w="3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640</w:t>
            </w:r>
          </w:p>
        </w:tc>
        <w:tc>
          <w:tcPr>
            <w:tcW w:w="100" w:type="dxa"/>
            <w:vAlign w:val="bottom"/>
            <w:shd w:val="clear" w:color="auto" w:fill="CFF0FC"/>
          </w:tcPr>
          <w:p>
            <w:pPr>
              <w:spacing w:after="0"/>
              <w:rPr>
                <w:sz w:val="19"/>
                <w:szCs w:val="19"/>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1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(54 )</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(26 )</w:t>
            </w: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(23 )</w:t>
            </w:r>
          </w:p>
        </w:tc>
        <w:tc>
          <w:tcPr>
            <w:tcW w:w="1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(164 )</w:t>
            </w: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(87 )</w:t>
            </w:r>
          </w:p>
        </w:tc>
      </w:tr>
      <w:tr>
        <w:trPr>
          <w:trHeight w:val="263"/>
        </w:trPr>
        <w:tc>
          <w:tcPr>
            <w:tcW w:w="3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Free cash flow</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w:t>
            </w:r>
          </w:p>
        </w:tc>
        <w:tc>
          <w:tcPr>
            <w:tcW w:w="8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980"/>
        </w:trPr>
        <w:tc>
          <w:tcPr>
            <w:tcW w:w="3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-1602740</wp:posOffset>
            </wp:positionV>
            <wp:extent cx="3754755" cy="1974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754755" cy="19748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-668020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-650875</wp:posOffset>
            </wp:positionV>
            <wp:extent cx="768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-668020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-650875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-668020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-650875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-668020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-650875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Reconciling Selected Non-GAAP Financial Measures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97"/>
              </w:rPr>
              <w:t>Three Months Ended</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color w:val="auto"/>
              </w:rPr>
              <w:t>Twelve Months Ended</w:t>
            </w:r>
          </w:p>
        </w:tc>
        <w:tc>
          <w:tcPr>
            <w:tcW w:w="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color w:val="auto"/>
                <w:w w:val="95"/>
              </w:rPr>
              <w:t>December 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w w:val="95"/>
              </w:rPr>
              <w:t>September 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w w:val="93"/>
              </w:rPr>
              <w:t>December 31,</w:t>
            </w:r>
          </w:p>
        </w:tc>
        <w:tc>
          <w:tcPr>
            <w:tcW w:w="1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6"/>
                <w:szCs w:val="16"/>
                <w:color w:val="auto"/>
                <w:w w:val="95"/>
              </w:rPr>
              <w:t>December 31,</w:t>
            </w:r>
          </w:p>
        </w:tc>
        <w:tc>
          <w:tcPr>
            <w:tcW w:w="140" w:type="dxa"/>
            <w:vAlign w:val="bottom"/>
          </w:tcPr>
          <w:p>
            <w:pPr>
              <w:spacing w:after="0"/>
              <w:rPr>
                <w:sz w:val="18"/>
                <w:szCs w:val="18"/>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6"/>
                <w:szCs w:val="16"/>
                <w:color w:val="auto"/>
                <w:w w:val="95"/>
              </w:rPr>
              <w:t>December 31,</w:t>
            </w: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1,380</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4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180" w:type="dxa"/>
            <w:vAlign w:val="bottom"/>
          </w:tcPr>
          <w:p>
            <w:pPr>
              <w:spacing w:after="0"/>
              <w:rPr>
                <w:sz w:val="19"/>
                <w:szCs w:val="19"/>
                <w:color w:val="auto"/>
              </w:rPr>
            </w:pPr>
          </w:p>
        </w:tc>
        <w:tc>
          <w:tcPr>
            <w:tcW w:w="1540" w:type="dxa"/>
            <w:vAlign w:val="bottom"/>
            <w:gridSpan w:val="3"/>
          </w:tcPr>
          <w:p>
            <w:pPr>
              <w:jc w:val="right"/>
              <w:ind w:right="59"/>
              <w:spacing w:after="0"/>
              <w:rPr>
                <w:sz w:val="20"/>
                <w:szCs w:val="20"/>
                <w:color w:val="auto"/>
              </w:rPr>
            </w:pPr>
            <w:r>
              <w:rPr>
                <w:rFonts w:ascii="Arial" w:cs="Arial" w:eastAsia="Arial" w:hAnsi="Arial"/>
                <w:sz w:val="16"/>
                <w:szCs w:val="16"/>
                <w:color w:val="auto"/>
              </w:rPr>
              <w:t>44.7 %</w:t>
            </w:r>
          </w:p>
        </w:tc>
        <w:tc>
          <w:tcPr>
            <w:tcW w:w="1540" w:type="dxa"/>
            <w:vAlign w:val="bottom"/>
            <w:gridSpan w:val="3"/>
          </w:tcPr>
          <w:p>
            <w:pPr>
              <w:jc w:val="right"/>
              <w:ind w:right="59"/>
              <w:spacing w:after="0"/>
              <w:rPr>
                <w:sz w:val="20"/>
                <w:szCs w:val="20"/>
                <w:color w:val="auto"/>
              </w:rPr>
            </w:pPr>
            <w:r>
              <w:rPr>
                <w:rFonts w:ascii="Arial" w:cs="Arial" w:eastAsia="Arial" w:hAnsi="Arial"/>
                <w:sz w:val="16"/>
                <w:szCs w:val="16"/>
                <w:color w:val="auto"/>
              </w:rPr>
              <w:t>40.8 %</w:t>
            </w:r>
          </w:p>
        </w:tc>
        <w:tc>
          <w:tcPr>
            <w:tcW w:w="1460" w:type="dxa"/>
            <w:vAlign w:val="bottom"/>
            <w:gridSpan w:val="3"/>
          </w:tcPr>
          <w:p>
            <w:pPr>
              <w:jc w:val="right"/>
              <w:ind w:right="59"/>
              <w:spacing w:after="0"/>
              <w:rPr>
                <w:sz w:val="20"/>
                <w:szCs w:val="20"/>
                <w:color w:val="auto"/>
              </w:rPr>
            </w:pPr>
            <w:r>
              <w:rPr>
                <w:rFonts w:ascii="Arial" w:cs="Arial" w:eastAsia="Arial" w:hAnsi="Arial"/>
                <w:sz w:val="16"/>
                <w:szCs w:val="16"/>
                <w:color w:val="auto"/>
              </w:rPr>
              <w:t>46.4 %</w:t>
            </w:r>
          </w:p>
        </w:tc>
        <w:tc>
          <w:tcPr>
            <w:tcW w:w="1480" w:type="dxa"/>
            <w:vAlign w:val="bottom"/>
            <w:gridSpan w:val="3"/>
          </w:tcPr>
          <w:p>
            <w:pPr>
              <w:jc w:val="right"/>
              <w:ind w:right="19"/>
              <w:spacing w:after="0"/>
              <w:rPr>
                <w:sz w:val="20"/>
                <w:szCs w:val="20"/>
                <w:color w:val="auto"/>
              </w:rPr>
            </w:pPr>
            <w:r>
              <w:rPr>
                <w:rFonts w:ascii="Arial" w:cs="Arial" w:eastAsia="Arial" w:hAnsi="Arial"/>
                <w:sz w:val="16"/>
                <w:szCs w:val="16"/>
                <w:color w:val="auto"/>
              </w:rPr>
              <w:t>43.6 %</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46.8 %</w:t>
            </w:r>
          </w:p>
        </w:tc>
        <w:tc>
          <w:tcPr>
            <w:tcW w:w="0" w:type="dxa"/>
            <w:vAlign w:val="bottom"/>
          </w:tcPr>
          <w:p>
            <w:pPr>
              <w:spacing w:after="0"/>
              <w:rPr>
                <w:sz w:val="1"/>
                <w:szCs w:val="1"/>
                <w:color w:val="auto"/>
              </w:rPr>
            </w:pPr>
          </w:p>
        </w:tc>
      </w:tr>
      <w:tr>
        <w:trPr>
          <w:trHeight w:val="233"/>
        </w:trPr>
        <w:tc>
          <w:tcPr>
            <w:tcW w:w="3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Acquisition inventory step-up (Note 2)</w:t>
            </w:r>
          </w:p>
        </w:tc>
        <w:tc>
          <w:tcPr>
            <w:tcW w:w="1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Arial" w:cs="Arial" w:eastAsia="Arial" w:hAnsi="Arial"/>
                <w:sz w:val="16"/>
                <w:szCs w:val="16"/>
                <w:color w:val="auto"/>
              </w:rPr>
              <w:t>Non-GAAP gross profit</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ind w:left="20"/>
              <w:spacing w:after="0"/>
              <w:rPr>
                <w:sz w:val="20"/>
                <w:szCs w:val="20"/>
                <w:color w:val="auto"/>
              </w:rPr>
            </w:pPr>
            <w:r>
              <w:rPr>
                <w:rFonts w:ascii="Arial" w:cs="Arial" w:eastAsia="Arial" w:hAnsi="Arial"/>
                <w:sz w:val="16"/>
                <w:szCs w:val="16"/>
                <w:color w:val="auto"/>
              </w:rPr>
              <w:t>Non-GAAP gross margin</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3"/>
          </w:tcPr>
          <w:p>
            <w:pPr>
              <w:jc w:val="right"/>
              <w:ind w:right="59"/>
              <w:spacing w:after="0"/>
              <w:rPr>
                <w:sz w:val="20"/>
                <w:szCs w:val="20"/>
                <w:color w:val="auto"/>
              </w:rPr>
            </w:pPr>
            <w:r>
              <w:rPr>
                <w:rFonts w:ascii="Arial" w:cs="Arial" w:eastAsia="Arial" w:hAnsi="Arial"/>
                <w:sz w:val="16"/>
                <w:szCs w:val="16"/>
                <w:color w:val="auto"/>
              </w:rPr>
              <w:t>45.9 %</w:t>
            </w:r>
          </w:p>
        </w:tc>
        <w:tc>
          <w:tcPr>
            <w:tcW w:w="1540" w:type="dxa"/>
            <w:vAlign w:val="bottom"/>
            <w:gridSpan w:val="3"/>
          </w:tcPr>
          <w:p>
            <w:pPr>
              <w:jc w:val="right"/>
              <w:ind w:right="59"/>
              <w:spacing w:after="0"/>
              <w:rPr>
                <w:sz w:val="20"/>
                <w:szCs w:val="20"/>
                <w:color w:val="auto"/>
              </w:rPr>
            </w:pPr>
            <w:r>
              <w:rPr>
                <w:rFonts w:ascii="Arial" w:cs="Arial" w:eastAsia="Arial" w:hAnsi="Arial"/>
                <w:sz w:val="16"/>
                <w:szCs w:val="16"/>
                <w:color w:val="auto"/>
              </w:rPr>
              <w:t>44.9 %</w:t>
            </w:r>
          </w:p>
        </w:tc>
        <w:tc>
          <w:tcPr>
            <w:tcW w:w="1460" w:type="dxa"/>
            <w:vAlign w:val="bottom"/>
            <w:gridSpan w:val="3"/>
          </w:tcPr>
          <w:p>
            <w:pPr>
              <w:jc w:val="right"/>
              <w:ind w:right="59"/>
              <w:spacing w:after="0"/>
              <w:rPr>
                <w:sz w:val="20"/>
                <w:szCs w:val="20"/>
                <w:color w:val="auto"/>
              </w:rPr>
            </w:pPr>
            <w:r>
              <w:rPr>
                <w:rFonts w:ascii="Arial" w:cs="Arial" w:eastAsia="Arial" w:hAnsi="Arial"/>
                <w:sz w:val="16"/>
                <w:szCs w:val="16"/>
                <w:color w:val="auto"/>
              </w:rPr>
              <w:t>46.4 %</w:t>
            </w:r>
          </w:p>
        </w:tc>
        <w:tc>
          <w:tcPr>
            <w:tcW w:w="1480" w:type="dxa"/>
            <w:vAlign w:val="bottom"/>
            <w:gridSpan w:val="3"/>
          </w:tcPr>
          <w:p>
            <w:pPr>
              <w:jc w:val="right"/>
              <w:ind w:right="19"/>
              <w:spacing w:after="0"/>
              <w:rPr>
                <w:sz w:val="20"/>
                <w:szCs w:val="20"/>
                <w:color w:val="auto"/>
              </w:rPr>
            </w:pPr>
            <w:r>
              <w:rPr>
                <w:rFonts w:ascii="Arial" w:cs="Arial" w:eastAsia="Arial" w:hAnsi="Arial"/>
                <w:sz w:val="16"/>
                <w:szCs w:val="16"/>
                <w:color w:val="auto"/>
              </w:rPr>
              <w:t>45.1 %</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46.8 %</w:t>
            </w:r>
          </w:p>
        </w:tc>
        <w:tc>
          <w:tcPr>
            <w:tcW w:w="0" w:type="dxa"/>
            <w:vAlign w:val="bottom"/>
          </w:tcPr>
          <w:p>
            <w:pPr>
              <w:spacing w:after="0"/>
              <w:rPr>
                <w:sz w:val="1"/>
                <w:szCs w:val="1"/>
                <w:color w:val="auto"/>
              </w:rPr>
            </w:pPr>
          </w:p>
        </w:tc>
      </w:tr>
      <w:tr>
        <w:trPr>
          <w:trHeight w:val="20"/>
        </w:trPr>
        <w:tc>
          <w:tcPr>
            <w:tcW w:w="3740" w:type="dxa"/>
            <w:vAlign w:val="bottom"/>
            <w:vMerge w:val="restart"/>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vMerge w:val="continue"/>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322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272</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681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Acquisition and integration costs (Note 1)</w:t>
            </w: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740" w:type="dxa"/>
            <w:vAlign w:val="bottom"/>
          </w:tcPr>
          <w:p>
            <w:pPr>
              <w:ind w:left="200"/>
              <w:spacing w:after="0"/>
              <w:rPr>
                <w:sz w:val="20"/>
                <w:szCs w:val="20"/>
                <w:color w:val="auto"/>
              </w:rPr>
            </w:pPr>
            <w:r>
              <w:rPr>
                <w:rFonts w:ascii="Arial" w:cs="Arial" w:eastAsia="Arial" w:hAnsi="Arial"/>
                <w:sz w:val="16"/>
                <w:szCs w:val="16"/>
                <w:color w:val="auto"/>
              </w:rPr>
              <w:t>Restructuring and other (Note 4)</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Gain on sale of long-lived assets (Note 5)</w:t>
            </w: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(7 )</w:t>
            </w:r>
          </w:p>
        </w:tc>
        <w:tc>
          <w:tcPr>
            <w:tcW w:w="1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20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Non-GAAP operating expenses</w:t>
            </w: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729</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FF0FC"/>
            </w:tcBorders>
            <w:shd w:val="clear" w:color="auto" w:fill="CFF0FC"/>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374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163</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118</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617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699</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Acquisition and integration costs (Note 1)</w:t>
            </w: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740" w:type="dxa"/>
            <w:vAlign w:val="bottom"/>
          </w:tcPr>
          <w:p>
            <w:pPr>
              <w:ind w:left="200"/>
              <w:spacing w:after="0"/>
              <w:rPr>
                <w:sz w:val="20"/>
                <w:szCs w:val="20"/>
                <w:color w:val="auto"/>
              </w:rPr>
            </w:pPr>
            <w:r>
              <w:rPr>
                <w:rFonts w:ascii="Arial" w:cs="Arial" w:eastAsia="Arial" w:hAnsi="Arial"/>
                <w:sz w:val="16"/>
                <w:szCs w:val="16"/>
                <w:color w:val="auto"/>
              </w:rPr>
              <w:t>Acquisition inventory step-up (Note 2)</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3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Restructuring and other (Note 4)</w:t>
            </w: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740" w:type="dxa"/>
            <w:vAlign w:val="bottom"/>
          </w:tcPr>
          <w:p>
            <w:pPr>
              <w:ind w:left="200"/>
              <w:spacing w:after="0"/>
              <w:rPr>
                <w:sz w:val="20"/>
                <w:szCs w:val="20"/>
                <w:color w:val="auto"/>
              </w:rPr>
            </w:pPr>
            <w:r>
              <w:rPr>
                <w:rFonts w:ascii="Arial" w:cs="Arial" w:eastAsia="Arial" w:hAnsi="Arial"/>
                <w:sz w:val="16"/>
                <w:szCs w:val="16"/>
                <w:color w:val="auto"/>
              </w:rPr>
              <w:t>Gain on sale of long-lived assets (Note 5)</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(7 )</w:t>
            </w:r>
          </w:p>
        </w:tc>
        <w:tc>
          <w:tcPr>
            <w:tcW w:w="140" w:type="dxa"/>
            <w:vAlign w:val="bottom"/>
          </w:tcPr>
          <w:p>
            <w:pPr>
              <w:spacing w:after="0"/>
              <w:rPr>
                <w:sz w:val="19"/>
                <w:szCs w:val="19"/>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3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FF0FC"/>
            </w:tcBorders>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Arial" w:cs="Arial" w:eastAsia="Arial" w:hAnsi="Arial"/>
                <w:sz w:val="16"/>
                <w:szCs w:val="16"/>
                <w:color w:val="auto"/>
              </w:rPr>
              <w:t>Non-GAAP income from operations</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ind w:left="20"/>
              <w:spacing w:after="0"/>
              <w:rPr>
                <w:sz w:val="20"/>
                <w:szCs w:val="20"/>
                <w:color w:val="auto"/>
              </w:rPr>
            </w:pPr>
            <w:r>
              <w:rPr>
                <w:rFonts w:ascii="Arial" w:cs="Arial" w:eastAsia="Arial" w:hAnsi="Arial"/>
                <w:sz w:val="16"/>
                <w:szCs w:val="16"/>
                <w:color w:val="auto"/>
              </w:rPr>
              <w:t>Non-GAAP operating margin</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3"/>
          </w:tcPr>
          <w:p>
            <w:pPr>
              <w:jc w:val="right"/>
              <w:ind w:right="59"/>
              <w:spacing w:after="0"/>
              <w:rPr>
                <w:sz w:val="20"/>
                <w:szCs w:val="20"/>
                <w:color w:val="auto"/>
              </w:rPr>
            </w:pPr>
            <w:r>
              <w:rPr>
                <w:rFonts w:ascii="Arial" w:cs="Arial" w:eastAsia="Arial" w:hAnsi="Arial"/>
                <w:sz w:val="16"/>
                <w:szCs w:val="16"/>
                <w:color w:val="auto"/>
              </w:rPr>
              <w:t>23.6 %</w:t>
            </w:r>
          </w:p>
        </w:tc>
        <w:tc>
          <w:tcPr>
            <w:tcW w:w="1540" w:type="dxa"/>
            <w:vAlign w:val="bottom"/>
            <w:gridSpan w:val="3"/>
          </w:tcPr>
          <w:p>
            <w:pPr>
              <w:jc w:val="right"/>
              <w:ind w:right="59"/>
              <w:spacing w:after="0"/>
              <w:rPr>
                <w:sz w:val="20"/>
                <w:szCs w:val="20"/>
                <w:color w:val="auto"/>
              </w:rPr>
            </w:pPr>
            <w:r>
              <w:rPr>
                <w:rFonts w:ascii="Arial" w:cs="Arial" w:eastAsia="Arial" w:hAnsi="Arial"/>
                <w:sz w:val="16"/>
                <w:szCs w:val="16"/>
                <w:color w:val="auto"/>
              </w:rPr>
              <w:t>25.1 %</w:t>
            </w:r>
          </w:p>
        </w:tc>
        <w:tc>
          <w:tcPr>
            <w:tcW w:w="1460" w:type="dxa"/>
            <w:vAlign w:val="bottom"/>
            <w:gridSpan w:val="3"/>
          </w:tcPr>
          <w:p>
            <w:pPr>
              <w:jc w:val="right"/>
              <w:ind w:right="59"/>
              <w:spacing w:after="0"/>
              <w:rPr>
                <w:sz w:val="20"/>
                <w:szCs w:val="20"/>
                <w:color w:val="auto"/>
              </w:rPr>
            </w:pPr>
            <w:r>
              <w:rPr>
                <w:rFonts w:ascii="Arial" w:cs="Arial" w:eastAsia="Arial" w:hAnsi="Arial"/>
                <w:sz w:val="16"/>
                <w:szCs w:val="16"/>
                <w:color w:val="auto"/>
              </w:rPr>
              <w:t>27.1 %</w:t>
            </w:r>
          </w:p>
        </w:tc>
        <w:tc>
          <w:tcPr>
            <w:tcW w:w="1480" w:type="dxa"/>
            <w:vAlign w:val="bottom"/>
            <w:gridSpan w:val="3"/>
          </w:tcPr>
          <w:p>
            <w:pPr>
              <w:jc w:val="right"/>
              <w:ind w:right="19"/>
              <w:spacing w:after="0"/>
              <w:rPr>
                <w:sz w:val="20"/>
                <w:szCs w:val="20"/>
                <w:color w:val="auto"/>
              </w:rPr>
            </w:pPr>
            <w:r>
              <w:rPr>
                <w:rFonts w:ascii="Arial" w:cs="Arial" w:eastAsia="Arial" w:hAnsi="Arial"/>
                <w:sz w:val="16"/>
                <w:szCs w:val="16"/>
                <w:color w:val="auto"/>
              </w:rPr>
              <w:t>24.5 %</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27.0 %</w:t>
            </w:r>
          </w:p>
        </w:tc>
        <w:tc>
          <w:tcPr>
            <w:tcW w:w="0" w:type="dxa"/>
            <w:vAlign w:val="bottom"/>
          </w:tcPr>
          <w:p>
            <w:pPr>
              <w:spacing w:after="0"/>
              <w:rPr>
                <w:sz w:val="1"/>
                <w:szCs w:val="1"/>
                <w:color w:val="auto"/>
              </w:rPr>
            </w:pPr>
          </w:p>
        </w:tc>
      </w:tr>
      <w:tr>
        <w:trPr>
          <w:trHeight w:val="20"/>
        </w:trPr>
        <w:tc>
          <w:tcPr>
            <w:tcW w:w="3740" w:type="dxa"/>
            <w:vAlign w:val="bottom"/>
            <w:vMerge w:val="restart"/>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vMerge w:val="continue"/>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83</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79</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Amortization of debt issuance costs (Note 3)</w:t>
            </w:r>
          </w:p>
        </w:tc>
        <w:tc>
          <w:tcPr>
            <w:tcW w:w="1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FF0FC"/>
            </w:tcBorders>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Arial" w:cs="Arial" w:eastAsia="Arial" w:hAnsi="Arial"/>
                <w:sz w:val="16"/>
                <w:szCs w:val="16"/>
                <w:color w:val="auto"/>
              </w:rPr>
              <w:t>Non-GAAP interest expense, net</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551</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740" w:type="dxa"/>
            <w:vAlign w:val="bottom"/>
          </w:tcPr>
          <w:p>
            <w:pPr>
              <w:ind w:left="20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Provision for income taxes</w:t>
            </w: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740" w:type="dxa"/>
            <w:vAlign w:val="bottom"/>
          </w:tcPr>
          <w:p>
            <w:pPr>
              <w:ind w:left="200"/>
              <w:spacing w:after="0"/>
              <w:rPr>
                <w:sz w:val="20"/>
                <w:szCs w:val="20"/>
                <w:color w:val="auto"/>
              </w:rPr>
            </w:pPr>
            <w:r>
              <w:rPr>
                <w:rFonts w:ascii="Arial" w:cs="Arial" w:eastAsia="Arial" w:hAnsi="Arial"/>
                <w:sz w:val="16"/>
                <w:szCs w:val="16"/>
                <w:color w:val="auto"/>
              </w:rPr>
              <w:t>Depreciation</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Amortization</w:t>
            </w:r>
          </w:p>
        </w:tc>
        <w:tc>
          <w:tcPr>
            <w:tcW w:w="1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FF0FC"/>
            </w:tcBorders>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Arial" w:cs="Arial" w:eastAsia="Arial" w:hAnsi="Arial"/>
                <w:sz w:val="16"/>
                <w:szCs w:val="16"/>
                <w:color w:val="auto"/>
              </w:rPr>
              <w:t>EBITDA</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244</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183</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822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794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w:t>
            </w:r>
          </w:p>
        </w:tc>
        <w:tc>
          <w:tcPr>
            <w:tcW w:w="18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40" w:type="dxa"/>
            <w:vAlign w:val="bottom"/>
          </w:tcPr>
          <w:p>
            <w:pPr>
              <w:ind w:left="200"/>
              <w:spacing w:after="0"/>
              <w:rPr>
                <w:sz w:val="20"/>
                <w:szCs w:val="20"/>
                <w:color w:val="auto"/>
              </w:rPr>
            </w:pPr>
            <w:r>
              <w:rPr>
                <w:rFonts w:ascii="Arial" w:cs="Arial" w:eastAsia="Arial" w:hAnsi="Arial"/>
                <w:sz w:val="16"/>
                <w:szCs w:val="16"/>
                <w:color w:val="auto"/>
              </w:rPr>
              <w:t>Acquisition and integration costs (Note 1)</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Acquisition inventory step-up (Note 2)</w:t>
            </w: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740" w:type="dxa"/>
            <w:vAlign w:val="bottom"/>
          </w:tcPr>
          <w:p>
            <w:pPr>
              <w:ind w:left="200"/>
              <w:spacing w:after="0"/>
              <w:rPr>
                <w:sz w:val="20"/>
                <w:szCs w:val="20"/>
                <w:color w:val="auto"/>
              </w:rPr>
            </w:pPr>
            <w:r>
              <w:rPr>
                <w:rFonts w:ascii="Arial" w:cs="Arial" w:eastAsia="Arial" w:hAnsi="Arial"/>
                <w:sz w:val="16"/>
                <w:szCs w:val="16"/>
                <w:color w:val="auto"/>
              </w:rPr>
              <w:t>Restructuring and other (Note 4)</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Gain on sale of long-lived assets (Note 5)</w:t>
            </w: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(7 )</w:t>
            </w:r>
          </w:p>
        </w:tc>
        <w:tc>
          <w:tcPr>
            <w:tcW w:w="1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200"/>
              <w:spacing w:after="0"/>
              <w:rPr>
                <w:sz w:val="20"/>
                <w:szCs w:val="20"/>
                <w:color w:val="auto"/>
              </w:rPr>
            </w:pPr>
            <w:r>
              <w:rPr>
                <w:rFonts w:ascii="Arial" w:cs="Arial" w:eastAsia="Arial" w:hAnsi="Arial"/>
                <w:sz w:val="16"/>
                <w:szCs w:val="16"/>
                <w:color w:val="auto"/>
              </w:rPr>
              <w:t>Currency hedge (gain) loss (Note 6)</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(3 )</w:t>
            </w:r>
          </w:p>
        </w:tc>
        <w:tc>
          <w:tcPr>
            <w:tcW w:w="18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(5 )</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969</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879</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Arial" w:cs="Arial" w:eastAsia="Arial" w:hAnsi="Arial"/>
                <w:sz w:val="16"/>
                <w:szCs w:val="16"/>
                <w:color w:val="auto"/>
              </w:rPr>
              <w:t>Adjusted EBITDA margin</w:t>
            </w:r>
          </w:p>
        </w:tc>
        <w:tc>
          <w:tcPr>
            <w:tcW w:w="180" w:type="dxa"/>
            <w:vAlign w:val="bottom"/>
          </w:tcPr>
          <w:p>
            <w:pPr>
              <w:spacing w:after="0"/>
              <w:rPr>
                <w:sz w:val="19"/>
                <w:szCs w:val="19"/>
                <w:color w:val="auto"/>
              </w:rPr>
            </w:pPr>
          </w:p>
        </w:tc>
        <w:tc>
          <w:tcPr>
            <w:tcW w:w="1540" w:type="dxa"/>
            <w:vAlign w:val="bottom"/>
            <w:gridSpan w:val="3"/>
          </w:tcPr>
          <w:p>
            <w:pPr>
              <w:jc w:val="right"/>
              <w:ind w:right="59"/>
              <w:spacing w:after="0"/>
              <w:rPr>
                <w:sz w:val="20"/>
                <w:szCs w:val="20"/>
                <w:color w:val="auto"/>
              </w:rPr>
            </w:pPr>
            <w:r>
              <w:rPr>
                <w:rFonts w:ascii="Arial" w:cs="Arial" w:eastAsia="Arial" w:hAnsi="Arial"/>
                <w:sz w:val="16"/>
                <w:szCs w:val="16"/>
                <w:color w:val="auto"/>
              </w:rPr>
              <w:t xml:space="preserve">26.0 </w:t>
            </w:r>
            <w:r>
              <w:rPr>
                <w:rFonts w:ascii="Arial" w:cs="Arial" w:eastAsia="Arial" w:hAnsi="Arial"/>
                <w:sz w:val="16"/>
                <w:szCs w:val="16"/>
                <w:color w:val="auto"/>
                <w:highlight w:val="white"/>
              </w:rPr>
              <w:t>%</w:t>
            </w:r>
          </w:p>
        </w:tc>
        <w:tc>
          <w:tcPr>
            <w:tcW w:w="1540" w:type="dxa"/>
            <w:vAlign w:val="bottom"/>
            <w:gridSpan w:val="3"/>
          </w:tcPr>
          <w:p>
            <w:pPr>
              <w:jc w:val="right"/>
              <w:ind w:right="59"/>
              <w:spacing w:after="0"/>
              <w:rPr>
                <w:sz w:val="20"/>
                <w:szCs w:val="20"/>
                <w:color w:val="auto"/>
              </w:rPr>
            </w:pPr>
            <w:r>
              <w:rPr>
                <w:rFonts w:ascii="Arial" w:cs="Arial" w:eastAsia="Arial" w:hAnsi="Arial"/>
                <w:sz w:val="16"/>
                <w:szCs w:val="16"/>
                <w:color w:val="auto"/>
              </w:rPr>
              <w:t xml:space="preserve">28.0 </w:t>
            </w:r>
            <w:r>
              <w:rPr>
                <w:rFonts w:ascii="Arial" w:cs="Arial" w:eastAsia="Arial" w:hAnsi="Arial"/>
                <w:sz w:val="16"/>
                <w:szCs w:val="16"/>
                <w:color w:val="auto"/>
                <w:highlight w:val="white"/>
              </w:rPr>
              <w:t>%</w:t>
            </w:r>
          </w:p>
        </w:tc>
        <w:tc>
          <w:tcPr>
            <w:tcW w:w="1460" w:type="dxa"/>
            <w:vAlign w:val="bottom"/>
            <w:gridSpan w:val="3"/>
          </w:tcPr>
          <w:p>
            <w:pPr>
              <w:jc w:val="right"/>
              <w:ind w:right="59"/>
              <w:spacing w:after="0"/>
              <w:rPr>
                <w:sz w:val="20"/>
                <w:szCs w:val="20"/>
                <w:color w:val="auto"/>
              </w:rPr>
            </w:pPr>
            <w:r>
              <w:rPr>
                <w:rFonts w:ascii="Arial" w:cs="Arial" w:eastAsia="Arial" w:hAnsi="Arial"/>
                <w:sz w:val="16"/>
                <w:szCs w:val="16"/>
                <w:color w:val="auto"/>
              </w:rPr>
              <w:t xml:space="preserve">29.9 </w:t>
            </w:r>
            <w:r>
              <w:rPr>
                <w:rFonts w:ascii="Arial" w:cs="Arial" w:eastAsia="Arial" w:hAnsi="Arial"/>
                <w:sz w:val="16"/>
                <w:szCs w:val="16"/>
                <w:color w:val="auto"/>
                <w:highlight w:val="white"/>
              </w:rPr>
              <w:t>%</w:t>
            </w:r>
          </w:p>
        </w:tc>
        <w:tc>
          <w:tcPr>
            <w:tcW w:w="1480" w:type="dxa"/>
            <w:vAlign w:val="bottom"/>
            <w:gridSpan w:val="3"/>
          </w:tcPr>
          <w:p>
            <w:pPr>
              <w:jc w:val="right"/>
              <w:ind w:right="19"/>
              <w:spacing w:after="0"/>
              <w:rPr>
                <w:sz w:val="20"/>
                <w:szCs w:val="20"/>
                <w:color w:val="auto"/>
              </w:rPr>
            </w:pPr>
            <w:r>
              <w:rPr>
                <w:rFonts w:ascii="Arial" w:cs="Arial" w:eastAsia="Arial" w:hAnsi="Arial"/>
                <w:sz w:val="16"/>
                <w:szCs w:val="16"/>
                <w:color w:val="auto"/>
              </w:rPr>
              <w:t xml:space="preserve">27.3 </w:t>
            </w:r>
            <w:r>
              <w:rPr>
                <w:rFonts w:ascii="Arial" w:cs="Arial" w:eastAsia="Arial" w:hAnsi="Arial"/>
                <w:sz w:val="16"/>
                <w:szCs w:val="16"/>
                <w:color w:val="auto"/>
                <w:highlight w:val="white"/>
              </w:rPr>
              <w:t>%</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 xml:space="preserve">29.8 </w:t>
            </w:r>
            <w:r>
              <w:rPr>
                <w:rFonts w:ascii="Arial" w:cs="Arial" w:eastAsia="Arial" w:hAnsi="Arial"/>
                <w:sz w:val="16"/>
                <w:szCs w:val="16"/>
                <w:color w:val="auto"/>
                <w:highlight w:val="white"/>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-5417185</wp:posOffset>
            </wp:positionV>
            <wp:extent cx="7132320" cy="4972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49720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-4182745</wp:posOffset>
            </wp:positionV>
            <wp:extent cx="3857625"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576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7132320" cy="4972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49720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-2639695</wp:posOffset>
            </wp:positionV>
            <wp:extent cx="77470" cy="1797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-2639695</wp:posOffset>
            </wp:positionV>
            <wp:extent cx="76835"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-2639695</wp:posOffset>
            </wp:positionV>
            <wp:extent cx="68580" cy="179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-2639695</wp:posOffset>
            </wp:positionV>
            <wp:extent cx="68580" cy="1797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-2639695</wp:posOffset>
            </wp:positionV>
            <wp:extent cx="68580" cy="1797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-1731010</wp:posOffset>
            </wp:positionV>
            <wp:extent cx="77470" cy="162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-1731010</wp:posOffset>
            </wp:positionV>
            <wp:extent cx="76835" cy="162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-1731010</wp:posOffset>
            </wp:positionV>
            <wp:extent cx="68580" cy="162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-1731010</wp:posOffset>
            </wp:positionV>
            <wp:extent cx="68580" cy="162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162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693420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ind w:right="40"/>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Reconciliation of GAAP Income Tax Rate to Non-GAAP Income Tax Rate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6"/>
          </w:tcPr>
          <w:p>
            <w:pPr>
              <w:ind w:left="560"/>
              <w:spacing w:after="0"/>
              <w:rPr>
                <w:sz w:val="20"/>
                <w:szCs w:val="20"/>
                <w:color w:val="auto"/>
              </w:rPr>
            </w:pPr>
            <w:r>
              <w:rPr>
                <w:rFonts w:ascii="Arial" w:cs="Arial" w:eastAsia="Arial" w:hAnsi="Arial"/>
                <w:sz w:val="13"/>
                <w:szCs w:val="13"/>
                <w:color w:val="auto"/>
                <w:w w:val="92"/>
              </w:rPr>
              <w:t>Three Months Ended December 31, 2022</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6"/>
          </w:tcPr>
          <w:p>
            <w:pPr>
              <w:ind w:left="520"/>
              <w:spacing w:after="0"/>
              <w:rPr>
                <w:sz w:val="20"/>
                <w:szCs w:val="20"/>
                <w:color w:val="auto"/>
              </w:rPr>
            </w:pPr>
            <w:r>
              <w:rPr>
                <w:rFonts w:ascii="Arial" w:cs="Arial" w:eastAsia="Arial" w:hAnsi="Arial"/>
                <w:sz w:val="13"/>
                <w:szCs w:val="13"/>
                <w:color w:val="auto"/>
                <w:w w:val="92"/>
              </w:rPr>
              <w:t>Three Months Ended December 31, 2021</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9"/>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42"/>
              <w:spacing w:after="0"/>
              <w:rPr>
                <w:sz w:val="20"/>
                <w:szCs w:val="20"/>
                <w:color w:val="auto"/>
              </w:rPr>
            </w:pPr>
            <w:r>
              <w:rPr>
                <w:rFonts w:ascii="Arial" w:cs="Arial" w:eastAsia="Arial" w:hAnsi="Arial"/>
                <w:sz w:val="13"/>
                <w:szCs w:val="13"/>
                <w:color w:val="auto"/>
              </w:rPr>
              <w:t>Income Before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tcPr>
          <w:p>
            <w:pPr>
              <w:ind w:left="260"/>
              <w:spacing w:after="0"/>
              <w:rPr>
                <w:sz w:val="20"/>
                <w:szCs w:val="20"/>
                <w:color w:val="auto"/>
              </w:rPr>
            </w:pPr>
            <w:r>
              <w:rPr>
                <w:rFonts w:ascii="Arial" w:cs="Arial" w:eastAsia="Arial" w:hAnsi="Arial"/>
                <w:sz w:val="13"/>
                <w:szCs w:val="13"/>
                <w:color w:val="auto"/>
              </w:rPr>
              <w:t>Provision</w:t>
            </w:r>
          </w:p>
        </w:tc>
        <w:tc>
          <w:tcPr>
            <w:tcW w:w="980" w:type="dxa"/>
            <w:vAlign w:val="bottom"/>
            <w:gridSpan w:val="3"/>
          </w:tcPr>
          <w:p>
            <w:pPr>
              <w:jc w:val="right"/>
              <w:ind w:right="460"/>
              <w:spacing w:after="0"/>
              <w:rPr>
                <w:sz w:val="20"/>
                <w:szCs w:val="20"/>
                <w:color w:val="auto"/>
              </w:rPr>
            </w:pPr>
            <w:r>
              <w:rPr>
                <w:rFonts w:ascii="Arial" w:cs="Arial" w:eastAsia="Arial" w:hAnsi="Arial"/>
                <w:sz w:val="13"/>
                <w:szCs w:val="13"/>
                <w:color w:val="auto"/>
              </w:rPr>
              <w:t>Effective</w:t>
            </w:r>
          </w:p>
        </w:tc>
        <w:tc>
          <w:tcPr>
            <w:tcW w:w="1220" w:type="dxa"/>
            <w:vAlign w:val="bottom"/>
            <w:gridSpan w:val="2"/>
          </w:tcPr>
          <w:p>
            <w:pPr>
              <w:jc w:val="right"/>
              <w:ind w:right="340"/>
              <w:spacing w:after="0"/>
              <w:rPr>
                <w:sz w:val="20"/>
                <w:szCs w:val="20"/>
                <w:color w:val="auto"/>
              </w:rPr>
            </w:pPr>
            <w:r>
              <w:rPr>
                <w:rFonts w:ascii="Arial" w:cs="Arial" w:eastAsia="Arial" w:hAnsi="Arial"/>
                <w:sz w:val="13"/>
                <w:szCs w:val="13"/>
                <w:color w:val="auto"/>
              </w:rPr>
              <w:t>Income Before</w:t>
            </w:r>
          </w:p>
        </w:tc>
        <w:tc>
          <w:tcPr>
            <w:tcW w:w="120" w:type="dxa"/>
            <w:vAlign w:val="bottom"/>
          </w:tcPr>
          <w:p>
            <w:pPr>
              <w:spacing w:after="0"/>
              <w:rPr>
                <w:sz w:val="14"/>
                <w:szCs w:val="14"/>
                <w:color w:val="auto"/>
              </w:rPr>
            </w:pPr>
          </w:p>
        </w:tc>
        <w:tc>
          <w:tcPr>
            <w:tcW w:w="1420" w:type="dxa"/>
            <w:vAlign w:val="bottom"/>
            <w:gridSpan w:val="3"/>
          </w:tcPr>
          <w:p>
            <w:pPr>
              <w:ind w:left="240"/>
              <w:spacing w:after="0"/>
              <w:rPr>
                <w:sz w:val="20"/>
                <w:szCs w:val="20"/>
                <w:color w:val="auto"/>
              </w:rPr>
            </w:pPr>
            <w:r>
              <w:rPr>
                <w:rFonts w:ascii="Arial" w:cs="Arial" w:eastAsia="Arial" w:hAnsi="Arial"/>
                <w:sz w:val="13"/>
                <w:szCs w:val="13"/>
                <w:color w:val="auto"/>
              </w:rPr>
              <w:t>Provision</w:t>
            </w:r>
          </w:p>
        </w:tc>
        <w:tc>
          <w:tcPr>
            <w:tcW w:w="840" w:type="dxa"/>
            <w:vAlign w:val="bottom"/>
            <w:gridSpan w:val="3"/>
          </w:tcPr>
          <w:p>
            <w:pPr>
              <w:jc w:val="right"/>
              <w:ind w:right="340"/>
              <w:spacing w:after="0"/>
              <w:rPr>
                <w:sz w:val="20"/>
                <w:szCs w:val="20"/>
                <w:color w:val="auto"/>
              </w:rPr>
            </w:pPr>
            <w:r>
              <w:rPr>
                <w:rFonts w:ascii="Arial" w:cs="Arial" w:eastAsia="Arial" w:hAnsi="Arial"/>
                <w:sz w:val="13"/>
                <w:szCs w:val="13"/>
                <w:color w:val="auto"/>
                <w:w w:val="96"/>
              </w:rPr>
              <w:t>Effective</w:t>
            </w:r>
          </w:p>
        </w:tc>
      </w:tr>
      <w:tr>
        <w:trPr>
          <w:trHeight w:val="176"/>
        </w:trPr>
        <w:tc>
          <w:tcPr>
            <w:tcW w:w="3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color w:val="auto"/>
              </w:rPr>
              <w:t>Income Taxes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color w:val="auto"/>
                <w:w w:val="95"/>
              </w:rPr>
              <w:t>for Income Taxes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color w:val="auto"/>
                <w:w w:val="94"/>
              </w:rPr>
              <w:t>Tax Rate</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color w:val="auto"/>
              </w:rPr>
              <w:t>Income Taxes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color w:val="auto"/>
                <w:w w:val="95"/>
              </w:rPr>
              <w:t>for Income Taxes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26"/>
              <w:spacing w:after="0"/>
              <w:rPr>
                <w:sz w:val="20"/>
                <w:szCs w:val="20"/>
                <w:color w:val="auto"/>
              </w:rPr>
            </w:pPr>
            <w:r>
              <w:rPr>
                <w:rFonts w:ascii="Arial" w:cs="Arial" w:eastAsia="Arial" w:hAnsi="Arial"/>
                <w:sz w:val="13"/>
                <w:szCs w:val="13"/>
                <w:color w:val="auto"/>
                <w:w w:val="90"/>
              </w:rPr>
              <w:t>Tax Rate</w:t>
            </w:r>
          </w:p>
        </w:tc>
        <w:tc>
          <w:tcPr>
            <w:tcW w:w="140" w:type="dxa"/>
            <w:vAlign w:val="bottom"/>
            <w:gridSpan w:val="2"/>
          </w:tcPr>
          <w:p>
            <w:pPr>
              <w:spacing w:after="0"/>
              <w:rPr>
                <w:sz w:val="15"/>
                <w:szCs w:val="15"/>
                <w:color w:val="auto"/>
              </w:rPr>
            </w:pPr>
          </w:p>
        </w:tc>
      </w:tr>
      <w:tr>
        <w:trPr>
          <w:trHeight w:val="204"/>
        </w:trPr>
        <w:tc>
          <w:tcPr>
            <w:tcW w:w="3740" w:type="dxa"/>
            <w:vAlign w:val="bottom"/>
          </w:tcPr>
          <w:p>
            <w:pPr>
              <w:ind w:left="20"/>
              <w:spacing w:after="0"/>
              <w:rPr>
                <w:sz w:val="20"/>
                <w:szCs w:val="20"/>
                <w:color w:val="auto"/>
              </w:rPr>
            </w:pPr>
            <w:r>
              <w:rPr>
                <w:rFonts w:ascii="Arial" w:cs="Arial" w:eastAsia="Arial" w:hAnsi="Arial"/>
                <w:sz w:val="16"/>
                <w:szCs w:val="16"/>
                <w:color w:val="auto"/>
              </w:rPr>
              <w:t>GAAP</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65</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rPr>
              <w:t>17.1 %$</w:t>
            </w:r>
          </w:p>
        </w:tc>
        <w:tc>
          <w:tcPr>
            <w:tcW w:w="1100" w:type="dxa"/>
            <w:vAlign w:val="bottom"/>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15.9 %</w:t>
            </w:r>
          </w:p>
        </w:tc>
      </w:tr>
      <w:tr>
        <w:trPr>
          <w:trHeight w:val="239"/>
        </w:trPr>
        <w:tc>
          <w:tcPr>
            <w:tcW w:w="3740" w:type="dxa"/>
            <w:vAlign w:val="bottom"/>
          </w:tcPr>
          <w:p>
            <w:pPr>
              <w:ind w:left="200"/>
              <w:spacing w:after="0"/>
              <w:rPr>
                <w:sz w:val="20"/>
                <w:szCs w:val="20"/>
                <w:color w:val="auto"/>
              </w:rPr>
            </w:pPr>
            <w:r>
              <w:rPr>
                <w:rFonts w:ascii="Arial" w:cs="Arial" w:eastAsia="Arial" w:hAnsi="Arial"/>
                <w:sz w:val="16"/>
                <w:szCs w:val="16"/>
                <w:color w:val="auto"/>
              </w:rPr>
              <w:t>Acquisition and integration costs (Note 1)</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9"/>
        </w:trPr>
        <w:tc>
          <w:tcPr>
            <w:tcW w:w="3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Acquisition inventory step-up (Note 2)</w:t>
            </w: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42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3740" w:type="dxa"/>
            <w:vAlign w:val="bottom"/>
          </w:tcPr>
          <w:p>
            <w:pPr>
              <w:ind w:left="200"/>
              <w:spacing w:after="0"/>
              <w:rPr>
                <w:sz w:val="20"/>
                <w:szCs w:val="20"/>
                <w:color w:val="auto"/>
              </w:rPr>
            </w:pPr>
            <w:r>
              <w:rPr>
                <w:rFonts w:ascii="Arial" w:cs="Arial" w:eastAsia="Arial" w:hAnsi="Arial"/>
                <w:sz w:val="16"/>
                <w:szCs w:val="16"/>
                <w:color w:val="auto"/>
              </w:rPr>
              <w:t>Amortization of debt issuance costs (Note 3)</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2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3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Restructuring and other (Note 4)</w:t>
            </w: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3740" w:type="dxa"/>
            <w:vAlign w:val="bottom"/>
          </w:tcPr>
          <w:p>
            <w:pPr>
              <w:ind w:left="200"/>
              <w:spacing w:after="0"/>
              <w:rPr>
                <w:sz w:val="20"/>
                <w:szCs w:val="20"/>
                <w:color w:val="auto"/>
              </w:rPr>
            </w:pPr>
            <w:r>
              <w:rPr>
                <w:rFonts w:ascii="Arial" w:cs="Arial" w:eastAsia="Arial" w:hAnsi="Arial"/>
                <w:sz w:val="16"/>
                <w:szCs w:val="16"/>
                <w:color w:val="auto"/>
              </w:rPr>
              <w:t>Amortization of intangible assets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3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Currency hedge (gain) loss (Note 6)</w:t>
            </w: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(3 )</w:t>
            </w:r>
          </w:p>
        </w:tc>
        <w:tc>
          <w:tcPr>
            <w:tcW w:w="120" w:type="dxa"/>
            <w:vAlign w:val="bottom"/>
            <w:shd w:val="clear" w:color="auto" w:fill="CFF0FC"/>
          </w:tcPr>
          <w:p>
            <w:pPr>
              <w:spacing w:after="0"/>
              <w:rPr>
                <w:sz w:val="20"/>
                <w:szCs w:val="20"/>
                <w:color w:val="auto"/>
              </w:rPr>
            </w:pPr>
          </w:p>
        </w:tc>
        <w:tc>
          <w:tcPr>
            <w:tcW w:w="142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3740" w:type="dxa"/>
            <w:vAlign w:val="bottom"/>
          </w:tcPr>
          <w:p>
            <w:pPr>
              <w:ind w:left="200"/>
              <w:spacing w:after="0"/>
              <w:rPr>
                <w:sz w:val="20"/>
                <w:szCs w:val="20"/>
                <w:color w:val="auto"/>
              </w:rPr>
            </w:pPr>
            <w:r>
              <w:rPr>
                <w:rFonts w:ascii="Arial" w:cs="Arial" w:eastAsia="Arial" w:hAnsi="Arial"/>
                <w:sz w:val="16"/>
                <w:szCs w:val="16"/>
                <w:color w:val="auto"/>
              </w:rPr>
              <w:t>Tax effect of Non-GAAP adjustments (Note 10)</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6"/>
                <w:szCs w:val="16"/>
                <w:color w:val="auto"/>
              </w:rPr>
              <w:t>Non-GAAP</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166</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right"/>
              <w:ind w:right="80"/>
              <w:spacing w:after="0" w:line="230" w:lineRule="exact"/>
              <w:rPr>
                <w:sz w:val="20"/>
                <w:szCs w:val="20"/>
                <w:color w:val="auto"/>
              </w:rPr>
            </w:pPr>
            <w:r>
              <w:rPr>
                <w:rFonts w:ascii="Arial" w:cs="Arial" w:eastAsia="Arial" w:hAnsi="Arial"/>
                <w:sz w:val="14"/>
                <w:szCs w:val="14"/>
                <w:color w:val="auto"/>
              </w:rPr>
              <w:t>19.9 %</w:t>
            </w:r>
            <w:r>
              <w:rPr>
                <w:rFonts w:ascii="Arial" w:cs="Arial" w:eastAsia="Arial" w:hAnsi="Arial"/>
                <w:sz w:val="26"/>
                <w:szCs w:val="26"/>
                <w:color w:val="auto"/>
                <w:vertAlign w:val="superscript"/>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16.3 %</w:t>
            </w:r>
          </w:p>
        </w:tc>
      </w:tr>
      <w:tr>
        <w:trPr>
          <w:trHeight w:val="20"/>
        </w:trPr>
        <w:tc>
          <w:tcPr>
            <w:tcW w:w="3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-1345565</wp:posOffset>
            </wp:positionV>
            <wp:extent cx="7132320"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color w:val="auto"/>
                <w:w w:val="92"/>
              </w:rPr>
              <w:t>Three Months Ended September 30, 2022</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4"/>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4"/>
          </w:tcPr>
          <w:p>
            <w:pPr>
              <w:jc w:val="right"/>
              <w:ind w:right="202"/>
              <w:spacing w:after="0"/>
              <w:rPr>
                <w:sz w:val="20"/>
                <w:szCs w:val="20"/>
                <w:color w:val="auto"/>
              </w:rPr>
            </w:pPr>
            <w:r>
              <w:rPr>
                <w:rFonts w:ascii="Arial" w:cs="Arial" w:eastAsia="Arial" w:hAnsi="Arial"/>
                <w:sz w:val="14"/>
                <w:szCs w:val="14"/>
                <w:color w:val="auto"/>
              </w:rPr>
              <w:t>Income Before</w:t>
            </w:r>
          </w:p>
        </w:tc>
        <w:tc>
          <w:tcPr>
            <w:tcW w:w="120" w:type="dxa"/>
            <w:vAlign w:val="bottom"/>
          </w:tcPr>
          <w:p>
            <w:pPr>
              <w:spacing w:after="0"/>
              <w:rPr>
                <w:sz w:val="14"/>
                <w:szCs w:val="14"/>
                <w:color w:val="auto"/>
              </w:rPr>
            </w:pPr>
          </w:p>
        </w:tc>
        <w:tc>
          <w:tcPr>
            <w:tcW w:w="1900" w:type="dxa"/>
            <w:vAlign w:val="bottom"/>
            <w:gridSpan w:val="6"/>
          </w:tcPr>
          <w:p>
            <w:pPr>
              <w:jc w:val="center"/>
              <w:ind w:right="459"/>
              <w:spacing w:after="0"/>
              <w:rPr>
                <w:sz w:val="20"/>
                <w:szCs w:val="20"/>
                <w:color w:val="auto"/>
              </w:rPr>
            </w:pPr>
            <w:r>
              <w:rPr>
                <w:rFonts w:ascii="Arial" w:cs="Arial" w:eastAsia="Arial" w:hAnsi="Arial"/>
                <w:sz w:val="14"/>
                <w:szCs w:val="14"/>
                <w:color w:val="auto"/>
                <w:w w:val="95"/>
              </w:rPr>
              <w:t>Provision (benefit)</w:t>
            </w:r>
          </w:p>
        </w:tc>
        <w:tc>
          <w:tcPr>
            <w:tcW w:w="980" w:type="dxa"/>
            <w:vAlign w:val="bottom"/>
            <w:gridSpan w:val="3"/>
          </w:tcPr>
          <w:p>
            <w:pPr>
              <w:spacing w:after="0"/>
              <w:rPr>
                <w:sz w:val="20"/>
                <w:szCs w:val="20"/>
                <w:color w:val="auto"/>
              </w:rPr>
            </w:pPr>
            <w:r>
              <w:rPr>
                <w:rFonts w:ascii="Arial" w:cs="Arial" w:eastAsia="Arial" w:hAnsi="Arial"/>
                <w:sz w:val="14"/>
                <w:szCs w:val="14"/>
                <w:color w:val="auto"/>
              </w:rPr>
              <w:t>Effective</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1"/>
        </w:trPr>
        <w:tc>
          <w:tcPr>
            <w:tcW w:w="3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Borders>
              <w:bottom w:val="single" w:sz="8" w:color="auto"/>
            </w:tcBorders>
            <w:gridSpan w:val="4"/>
          </w:tcPr>
          <w:p>
            <w:pPr>
              <w:jc w:val="right"/>
              <w:ind w:right="222"/>
              <w:spacing w:after="0"/>
              <w:rPr>
                <w:sz w:val="20"/>
                <w:szCs w:val="20"/>
                <w:color w:val="auto"/>
              </w:rPr>
            </w:pPr>
            <w:r>
              <w:rPr>
                <w:rFonts w:ascii="Arial" w:cs="Arial" w:eastAsia="Arial" w:hAnsi="Arial"/>
                <w:sz w:val="14"/>
                <w:szCs w:val="14"/>
                <w:color w:val="auto"/>
              </w:rPr>
              <w:t>Income Taxes</w:t>
            </w:r>
          </w:p>
        </w:tc>
        <w:tc>
          <w:tcPr>
            <w:tcW w:w="120" w:type="dxa"/>
            <w:vAlign w:val="bottom"/>
          </w:tcPr>
          <w:p>
            <w:pPr>
              <w:spacing w:after="0"/>
              <w:rPr>
                <w:sz w:val="15"/>
                <w:szCs w:val="15"/>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2"/>
              </w:rPr>
              <w:t>for Income Taxes</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Tax Rate</w:t>
            </w:r>
          </w:p>
        </w:tc>
        <w:tc>
          <w:tcPr>
            <w:tcW w:w="140" w:type="dxa"/>
            <w:vAlign w:val="bottom"/>
            <w:gridSpan w:val="2"/>
          </w:tcPr>
          <w:p>
            <w:pPr>
              <w:spacing w:after="0"/>
              <w:rPr>
                <w:sz w:val="15"/>
                <w:szCs w:val="15"/>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GAAP</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40</w:t>
            </w:r>
          </w:p>
        </w:tc>
        <w:tc>
          <w:tcPr>
            <w:tcW w:w="620" w:type="dxa"/>
            <w:vAlign w:val="bottom"/>
            <w:gridSpan w:val="2"/>
          </w:tcPr>
          <w:p>
            <w:pPr>
              <w:jc w:val="right"/>
              <w:ind w:right="3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Arial" w:cs="Arial" w:eastAsia="Arial" w:hAnsi="Arial"/>
                <w:sz w:val="16"/>
                <w:szCs w:val="16"/>
                <w:color w:val="auto"/>
              </w:rPr>
              <w:t>85.5 %</w:t>
            </w:r>
          </w:p>
        </w:tc>
      </w:tr>
      <w:tr>
        <w:trPr>
          <w:trHeight w:val="239"/>
        </w:trPr>
        <w:tc>
          <w:tcPr>
            <w:tcW w:w="3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Acquisition and integration costs (Note 1)</w:t>
            </w: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gridSpan w:val="3"/>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3740" w:type="dxa"/>
            <w:vAlign w:val="bottom"/>
          </w:tcPr>
          <w:p>
            <w:pPr>
              <w:ind w:left="200"/>
              <w:spacing w:after="0"/>
              <w:rPr>
                <w:sz w:val="20"/>
                <w:szCs w:val="20"/>
                <w:color w:val="auto"/>
              </w:rPr>
            </w:pPr>
            <w:r>
              <w:rPr>
                <w:rFonts w:ascii="Arial" w:cs="Arial" w:eastAsia="Arial" w:hAnsi="Arial"/>
                <w:sz w:val="16"/>
                <w:szCs w:val="16"/>
                <w:color w:val="auto"/>
              </w:rPr>
              <w:t>Acquisition inventory step-up (Note 2)</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47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3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debt issuance costs (Note 3)</w:t>
            </w: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gridSpan w:val="3"/>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3740" w:type="dxa"/>
            <w:vAlign w:val="bottom"/>
          </w:tcPr>
          <w:p>
            <w:pPr>
              <w:ind w:left="200"/>
              <w:spacing w:after="0"/>
              <w:rPr>
                <w:sz w:val="20"/>
                <w:szCs w:val="20"/>
                <w:color w:val="auto"/>
              </w:rPr>
            </w:pPr>
            <w:r>
              <w:rPr>
                <w:rFonts w:ascii="Arial" w:cs="Arial" w:eastAsia="Arial" w:hAnsi="Arial"/>
                <w:sz w:val="16"/>
                <w:szCs w:val="16"/>
                <w:color w:val="auto"/>
              </w:rPr>
              <w:t>Restructuring and other (Note 4)</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47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3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intangible assets</w:t>
            </w: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gridSpan w:val="3"/>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3740" w:type="dxa"/>
            <w:vAlign w:val="bottom"/>
          </w:tcPr>
          <w:p>
            <w:pPr>
              <w:ind w:left="200"/>
              <w:spacing w:after="0"/>
              <w:rPr>
                <w:sz w:val="20"/>
                <w:szCs w:val="20"/>
                <w:color w:val="auto"/>
              </w:rPr>
            </w:pPr>
            <w:r>
              <w:rPr>
                <w:rFonts w:ascii="Arial" w:cs="Arial" w:eastAsia="Arial" w:hAnsi="Arial"/>
                <w:sz w:val="16"/>
                <w:szCs w:val="16"/>
                <w:color w:val="auto"/>
                <w:w w:val="93"/>
              </w:rPr>
              <w:t>Reversal of indefinite reinvestment assertion (Note 7)</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(30 )</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3"/>
        </w:trPr>
        <w:tc>
          <w:tcPr>
            <w:tcW w:w="3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Tax effect of Non-GAAP adjustments (Note 10)</w:t>
            </w:r>
          </w:p>
        </w:tc>
        <w:tc>
          <w:tcPr>
            <w:tcW w:w="1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6"/>
                <w:szCs w:val="16"/>
                <w:color w:val="auto"/>
              </w:rPr>
              <w:t>Non-GAAP</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5"/>
          </w:tcPr>
          <w:p>
            <w:pPr>
              <w:jc w:val="right"/>
              <w:spacing w:after="0"/>
              <w:rPr>
                <w:sz w:val="20"/>
                <w:szCs w:val="20"/>
                <w:color w:val="auto"/>
              </w:rPr>
            </w:pPr>
            <w:r>
              <w:rPr>
                <w:rFonts w:ascii="Arial" w:cs="Arial" w:eastAsia="Arial" w:hAnsi="Arial"/>
                <w:sz w:val="16"/>
                <w:szCs w:val="16"/>
                <w:color w:val="auto"/>
              </w:rPr>
              <w:t>18.0 %</w:t>
            </w:r>
          </w:p>
        </w:tc>
      </w:tr>
      <w:tr>
        <w:trPr>
          <w:trHeight w:val="20"/>
        </w:trPr>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r>
      <w:tr>
        <w:trPr>
          <w:trHeight w:val="358"/>
        </w:trPr>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0" w:type="dxa"/>
            <w:vAlign w:val="bottom"/>
            <w:gridSpan w:val="9"/>
          </w:tcPr>
          <w:p>
            <w:pPr>
              <w:ind w:left="480"/>
              <w:spacing w:after="0"/>
              <w:rPr>
                <w:sz w:val="20"/>
                <w:szCs w:val="20"/>
                <w:color w:val="auto"/>
              </w:rPr>
            </w:pPr>
            <w:r>
              <w:rPr>
                <w:rFonts w:ascii="Arial" w:cs="Arial" w:eastAsia="Arial" w:hAnsi="Arial"/>
                <w:sz w:val="14"/>
                <w:szCs w:val="14"/>
                <w:color w:val="auto"/>
              </w:rPr>
              <w:t>Twelve Months Ended December 31, 2022</w:t>
            </w:r>
          </w:p>
        </w:tc>
        <w:tc>
          <w:tcPr>
            <w:tcW w:w="3600" w:type="dxa"/>
            <w:vAlign w:val="bottom"/>
            <w:gridSpan w:val="13"/>
          </w:tcPr>
          <w:p>
            <w:pPr>
              <w:jc w:val="right"/>
              <w:ind w:right="700"/>
              <w:spacing w:after="0"/>
              <w:rPr>
                <w:sz w:val="20"/>
                <w:szCs w:val="20"/>
                <w:color w:val="auto"/>
              </w:rPr>
            </w:pPr>
            <w:r>
              <w:rPr>
                <w:rFonts w:ascii="Arial" w:cs="Arial" w:eastAsia="Arial" w:hAnsi="Arial"/>
                <w:sz w:val="14"/>
                <w:szCs w:val="14"/>
                <w:color w:val="auto"/>
              </w:rPr>
              <w:t>Twelve Months Ended December 31, 2021</w:t>
            </w:r>
          </w:p>
        </w:tc>
      </w:tr>
      <w:tr>
        <w:trPr>
          <w:trHeight w:val="164"/>
        </w:trPr>
        <w:tc>
          <w:tcPr>
            <w:tcW w:w="37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4"/>
                <w:szCs w:val="14"/>
                <w:color w:val="auto"/>
                <w:w w:val="98"/>
              </w:rPr>
              <w:t>Income Before</w:t>
            </w:r>
          </w:p>
        </w:tc>
        <w:tc>
          <w:tcPr>
            <w:tcW w:w="1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Provision (benefit)</w:t>
            </w:r>
          </w:p>
        </w:tc>
        <w:tc>
          <w:tcPr>
            <w:tcW w:w="7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Effective</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3"/>
          </w:tcPr>
          <w:p>
            <w:pPr>
              <w:jc w:val="right"/>
              <w:ind w:right="101"/>
              <w:spacing w:after="0"/>
              <w:rPr>
                <w:sz w:val="20"/>
                <w:szCs w:val="20"/>
                <w:color w:val="auto"/>
              </w:rPr>
            </w:pPr>
            <w:r>
              <w:rPr>
                <w:rFonts w:ascii="Arial" w:cs="Arial" w:eastAsia="Arial" w:hAnsi="Arial"/>
                <w:sz w:val="14"/>
                <w:szCs w:val="14"/>
                <w:color w:val="auto"/>
                <w:w w:val="96"/>
              </w:rPr>
              <w:t>Income Before</w:t>
            </w: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3"/>
          </w:tcPr>
          <w:p>
            <w:pPr>
              <w:jc w:val="right"/>
              <w:ind w:right="19"/>
              <w:spacing w:after="0"/>
              <w:rPr>
                <w:sz w:val="20"/>
                <w:szCs w:val="20"/>
                <w:color w:val="auto"/>
              </w:rPr>
            </w:pPr>
            <w:r>
              <w:rPr>
                <w:rFonts w:ascii="Arial" w:cs="Arial" w:eastAsia="Arial" w:hAnsi="Arial"/>
                <w:sz w:val="14"/>
                <w:szCs w:val="14"/>
                <w:color w:val="auto"/>
                <w:w w:val="93"/>
              </w:rPr>
              <w:t>Provision (benefit)</w:t>
            </w: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ind w:left="160"/>
              <w:spacing w:after="0"/>
              <w:rPr>
                <w:sz w:val="20"/>
                <w:szCs w:val="20"/>
                <w:color w:val="auto"/>
              </w:rPr>
            </w:pPr>
            <w:r>
              <w:rPr>
                <w:rFonts w:ascii="Arial" w:cs="Arial" w:eastAsia="Arial" w:hAnsi="Arial"/>
                <w:sz w:val="14"/>
                <w:szCs w:val="14"/>
                <w:color w:val="auto"/>
              </w:rPr>
              <w:t>Effective</w:t>
            </w:r>
          </w:p>
        </w:tc>
        <w:tc>
          <w:tcPr>
            <w:tcW w:w="140" w:type="dxa"/>
            <w:vAlign w:val="bottom"/>
            <w:gridSpan w:val="2"/>
          </w:tcPr>
          <w:p>
            <w:pPr>
              <w:spacing w:after="0"/>
              <w:rPr>
                <w:sz w:val="14"/>
                <w:szCs w:val="14"/>
                <w:color w:val="auto"/>
              </w:rPr>
            </w:pPr>
          </w:p>
        </w:tc>
      </w:tr>
      <w:tr>
        <w:trPr>
          <w:trHeight w:val="181"/>
        </w:trPr>
        <w:tc>
          <w:tcPr>
            <w:tcW w:w="3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Income Taxes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color w:val="auto"/>
                <w:w w:val="96"/>
              </w:rPr>
              <w:t>for Income Taxes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Tax Rate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4"/>
                <w:szCs w:val="14"/>
                <w:color w:val="auto"/>
                <w:w w:val="97"/>
              </w:rPr>
              <w:t>Income Taxes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color w:val="auto"/>
                <w:w w:val="94"/>
              </w:rPr>
              <w:t>for Income Taxes</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Tax Rate</w:t>
            </w:r>
          </w:p>
        </w:tc>
        <w:tc>
          <w:tcPr>
            <w:tcW w:w="140" w:type="dxa"/>
            <w:vAlign w:val="bottom"/>
            <w:gridSpan w:val="2"/>
          </w:tcPr>
          <w:p>
            <w:pPr>
              <w:spacing w:after="0"/>
              <w:rPr>
                <w:sz w:val="15"/>
                <w:szCs w:val="15"/>
                <w:color w:val="auto"/>
              </w:rPr>
            </w:pPr>
          </w:p>
        </w:tc>
      </w:tr>
      <w:tr>
        <w:trPr>
          <w:trHeight w:val="203"/>
        </w:trPr>
        <w:tc>
          <w:tcPr>
            <w:tcW w:w="3740" w:type="dxa"/>
            <w:vAlign w:val="bottom"/>
          </w:tcPr>
          <w:p>
            <w:pPr>
              <w:ind w:left="20"/>
              <w:spacing w:after="0"/>
              <w:rPr>
                <w:sz w:val="20"/>
                <w:szCs w:val="20"/>
                <w:color w:val="auto"/>
              </w:rPr>
            </w:pPr>
            <w:r>
              <w:rPr>
                <w:rFonts w:ascii="Arial" w:cs="Arial" w:eastAsia="Arial" w:hAnsi="Arial"/>
                <w:sz w:val="16"/>
                <w:szCs w:val="16"/>
                <w:color w:val="auto"/>
              </w:rPr>
              <w:t>GAAP</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tcPr>
          <w:p>
            <w:pPr>
              <w:ind w:left="400"/>
              <w:spacing w:after="0"/>
              <w:rPr>
                <w:sz w:val="20"/>
                <w:szCs w:val="20"/>
                <w:color w:val="auto"/>
              </w:rPr>
            </w:pPr>
            <w:r>
              <w:rPr>
                <w:rFonts w:ascii="Arial" w:cs="Arial" w:eastAsia="Arial" w:hAnsi="Arial"/>
                <w:sz w:val="16"/>
                <w:szCs w:val="16"/>
                <w:color w:val="auto"/>
                <w:w w:val="88"/>
              </w:rPr>
              <w:t>23.1 %$</w:t>
            </w:r>
          </w:p>
        </w:tc>
        <w:tc>
          <w:tcPr>
            <w:tcW w:w="4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665</w:t>
            </w:r>
          </w:p>
        </w:tc>
        <w:tc>
          <w:tcPr>
            <w:tcW w:w="22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114</w:t>
            </w:r>
          </w:p>
        </w:tc>
        <w:tc>
          <w:tcPr>
            <w:tcW w:w="1120" w:type="dxa"/>
            <w:vAlign w:val="bottom"/>
            <w:gridSpan w:val="5"/>
          </w:tcPr>
          <w:p>
            <w:pPr>
              <w:jc w:val="right"/>
              <w:spacing w:after="0"/>
              <w:rPr>
                <w:sz w:val="20"/>
                <w:szCs w:val="20"/>
                <w:color w:val="auto"/>
              </w:rPr>
            </w:pPr>
            <w:r>
              <w:rPr>
                <w:rFonts w:ascii="Arial" w:cs="Arial" w:eastAsia="Arial" w:hAnsi="Arial"/>
                <w:sz w:val="16"/>
                <w:szCs w:val="16"/>
                <w:color w:val="auto"/>
              </w:rPr>
              <w:t>17.1 %</w:t>
            </w:r>
          </w:p>
        </w:tc>
      </w:tr>
      <w:tr>
        <w:trPr>
          <w:trHeight w:val="239"/>
        </w:trPr>
        <w:tc>
          <w:tcPr>
            <w:tcW w:w="3740" w:type="dxa"/>
            <w:vAlign w:val="bottom"/>
          </w:tcPr>
          <w:p>
            <w:pPr>
              <w:ind w:left="200"/>
              <w:spacing w:after="0"/>
              <w:rPr>
                <w:sz w:val="20"/>
                <w:szCs w:val="20"/>
                <w:color w:val="auto"/>
              </w:rPr>
            </w:pPr>
            <w:r>
              <w:rPr>
                <w:rFonts w:ascii="Arial" w:cs="Arial" w:eastAsia="Arial" w:hAnsi="Arial"/>
                <w:sz w:val="16"/>
                <w:szCs w:val="16"/>
                <w:color w:val="auto"/>
              </w:rPr>
              <w:t>Acquisition and integration costs (Note 1)</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9"/>
        </w:trPr>
        <w:tc>
          <w:tcPr>
            <w:tcW w:w="3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Acquisition inventory step-up (Note 2)</w:t>
            </w: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0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3740" w:type="dxa"/>
            <w:vAlign w:val="bottom"/>
          </w:tcPr>
          <w:p>
            <w:pPr>
              <w:ind w:left="200"/>
              <w:spacing w:after="0"/>
              <w:rPr>
                <w:sz w:val="20"/>
                <w:szCs w:val="20"/>
                <w:color w:val="auto"/>
              </w:rPr>
            </w:pPr>
            <w:r>
              <w:rPr>
                <w:rFonts w:ascii="Arial" w:cs="Arial" w:eastAsia="Arial" w:hAnsi="Arial"/>
                <w:sz w:val="16"/>
                <w:szCs w:val="16"/>
                <w:color w:val="auto"/>
              </w:rPr>
              <w:t>Amortization of debt issuance costs (Note 3)</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3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Restructuring and other (Note 4)</w:t>
            </w: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0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3740" w:type="dxa"/>
            <w:vAlign w:val="bottom"/>
          </w:tcPr>
          <w:p>
            <w:pPr>
              <w:ind w:left="200"/>
              <w:spacing w:after="0"/>
              <w:rPr>
                <w:sz w:val="20"/>
                <w:szCs w:val="20"/>
                <w:color w:val="auto"/>
              </w:rPr>
            </w:pPr>
            <w:r>
              <w:rPr>
                <w:rFonts w:ascii="Arial" w:cs="Arial" w:eastAsia="Arial" w:hAnsi="Arial"/>
                <w:sz w:val="16"/>
                <w:szCs w:val="16"/>
                <w:color w:val="auto"/>
              </w:rPr>
              <w:t>Amortization of intangible assets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3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Gain on sale of long-lived assets (Note 5)</w:t>
            </w:r>
          </w:p>
        </w:tc>
        <w:tc>
          <w:tcPr>
            <w:tcW w:w="1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(7 )</w:t>
            </w:r>
          </w:p>
        </w:tc>
        <w:tc>
          <w:tcPr>
            <w:tcW w:w="100" w:type="dxa"/>
            <w:vAlign w:val="bottom"/>
            <w:shd w:val="clear" w:color="auto" w:fill="CFF0FC"/>
          </w:tcPr>
          <w:p>
            <w:pPr>
              <w:spacing w:after="0"/>
              <w:rPr>
                <w:sz w:val="20"/>
                <w:szCs w:val="20"/>
                <w:color w:val="auto"/>
              </w:rPr>
            </w:pPr>
          </w:p>
        </w:tc>
        <w:tc>
          <w:tcPr>
            <w:tcW w:w="150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3740" w:type="dxa"/>
            <w:vAlign w:val="bottom"/>
          </w:tcPr>
          <w:p>
            <w:pPr>
              <w:ind w:left="200"/>
              <w:spacing w:after="0"/>
              <w:rPr>
                <w:sz w:val="20"/>
                <w:szCs w:val="20"/>
                <w:color w:val="auto"/>
              </w:rPr>
            </w:pPr>
            <w:r>
              <w:rPr>
                <w:rFonts w:ascii="Arial" w:cs="Arial" w:eastAsia="Arial" w:hAnsi="Arial"/>
                <w:sz w:val="16"/>
                <w:szCs w:val="16"/>
                <w:color w:val="auto"/>
              </w:rPr>
              <w:t>Currency hedge (gain) loss (Note 6)</w:t>
            </w:r>
          </w:p>
        </w:tc>
        <w:tc>
          <w:tcPr>
            <w:tcW w:w="1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19"/>
                <w:szCs w:val="19"/>
                <w:color w:val="auto"/>
              </w:rPr>
            </w:pPr>
          </w:p>
        </w:tc>
        <w:tc>
          <w:tcPr>
            <w:tcW w:w="150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3740" w:type="dxa"/>
            <w:vAlign w:val="bottom"/>
            <w:shd w:val="clear" w:color="auto" w:fill="CFF0FC"/>
          </w:tcPr>
          <w:p>
            <w:pPr>
              <w:ind w:left="200"/>
              <w:spacing w:after="0"/>
              <w:rPr>
                <w:sz w:val="20"/>
                <w:szCs w:val="20"/>
                <w:color w:val="auto"/>
              </w:rPr>
            </w:pPr>
            <w:r>
              <w:rPr>
                <w:rFonts w:ascii="Arial" w:cs="Arial" w:eastAsia="Arial" w:hAnsi="Arial"/>
                <w:sz w:val="16"/>
                <w:szCs w:val="16"/>
                <w:color w:val="auto"/>
                <w:w w:val="93"/>
              </w:rPr>
              <w:t>Reversal of indefinite reinvestment assertion (Note 7)</w:t>
            </w:r>
          </w:p>
        </w:tc>
        <w:tc>
          <w:tcPr>
            <w:tcW w:w="1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(30 )</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06"/>
        </w:trPr>
        <w:tc>
          <w:tcPr>
            <w:tcW w:w="3740" w:type="dxa"/>
            <w:vAlign w:val="bottom"/>
          </w:tcPr>
          <w:p>
            <w:pPr>
              <w:ind w:left="200"/>
              <w:spacing w:after="0"/>
              <w:rPr>
                <w:sz w:val="20"/>
                <w:szCs w:val="20"/>
                <w:color w:val="auto"/>
              </w:rPr>
            </w:pPr>
            <w:r>
              <w:rPr>
                <w:rFonts w:ascii="Arial" w:cs="Arial" w:eastAsia="Arial" w:hAnsi="Arial"/>
                <w:sz w:val="16"/>
                <w:szCs w:val="16"/>
                <w:color w:val="auto"/>
                <w:w w:val="99"/>
              </w:rPr>
              <w:t>Windfall tax benefit on stock-based compensation</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740" w:type="dxa"/>
            <w:vAlign w:val="bottom"/>
          </w:tcPr>
          <w:p>
            <w:pPr>
              <w:ind w:left="200"/>
              <w:spacing w:after="0"/>
              <w:rPr>
                <w:sz w:val="20"/>
                <w:szCs w:val="20"/>
                <w:color w:val="auto"/>
              </w:rPr>
            </w:pPr>
            <w:r>
              <w:rPr>
                <w:rFonts w:ascii="Arial" w:cs="Arial" w:eastAsia="Arial" w:hAnsi="Arial"/>
                <w:sz w:val="16"/>
                <w:szCs w:val="16"/>
                <w:color w:val="auto"/>
              </w:rPr>
              <w:t>(Note 8)</w:t>
            </w: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9"/>
        </w:trPr>
        <w:tc>
          <w:tcPr>
            <w:tcW w:w="3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Withholding tax related to Brexit (Note 9)</w:t>
            </w:r>
          </w:p>
        </w:tc>
        <w:tc>
          <w:tcPr>
            <w:tcW w:w="1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50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gridSpan w:val="5"/>
            <w:shd w:val="clear" w:color="auto" w:fill="CFF0FC"/>
          </w:tcPr>
          <w:p>
            <w:pPr>
              <w:jc w:val="right"/>
              <w:ind w:right="40"/>
              <w:spacing w:after="0"/>
              <w:rPr>
                <w:sz w:val="20"/>
                <w:szCs w:val="20"/>
                <w:color w:val="auto"/>
              </w:rPr>
            </w:pPr>
            <w:r>
              <w:rPr>
                <w:rFonts w:ascii="Arial" w:cs="Arial" w:eastAsia="Arial" w:hAnsi="Arial"/>
                <w:sz w:val="16"/>
                <w:szCs w:val="16"/>
                <w:color w:val="auto"/>
              </w:rPr>
              <w:t>(3 )</w:t>
            </w: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3740" w:type="dxa"/>
            <w:vAlign w:val="bottom"/>
          </w:tcPr>
          <w:p>
            <w:pPr>
              <w:ind w:left="200"/>
              <w:spacing w:after="0"/>
              <w:rPr>
                <w:sz w:val="20"/>
                <w:szCs w:val="20"/>
                <w:color w:val="auto"/>
              </w:rPr>
            </w:pPr>
            <w:r>
              <w:rPr>
                <w:rFonts w:ascii="Arial" w:cs="Arial" w:eastAsia="Arial" w:hAnsi="Arial"/>
                <w:sz w:val="16"/>
                <w:szCs w:val="16"/>
                <w:color w:val="auto"/>
              </w:rPr>
              <w:t>Tax effect of Non-GAAP adjustments (Note 10)</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6"/>
                <w:szCs w:val="16"/>
                <w:color w:val="auto"/>
              </w:rPr>
              <w:t>Non-GAAP</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731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ind w:left="400"/>
              <w:spacing w:after="0" w:line="230" w:lineRule="exact"/>
              <w:rPr>
                <w:sz w:val="20"/>
                <w:szCs w:val="20"/>
                <w:color w:val="auto"/>
              </w:rPr>
            </w:pPr>
            <w:r>
              <w:rPr>
                <w:rFonts w:ascii="Arial" w:cs="Arial" w:eastAsia="Arial" w:hAnsi="Arial"/>
                <w:sz w:val="14"/>
                <w:szCs w:val="14"/>
                <w:color w:val="auto"/>
                <w:w w:val="97"/>
              </w:rPr>
              <w:t>18.4 %</w:t>
            </w:r>
            <w:r>
              <w:rPr>
                <w:rFonts w:ascii="Arial" w:cs="Arial" w:eastAsia="Arial" w:hAnsi="Arial"/>
                <w:sz w:val="26"/>
                <w:szCs w:val="26"/>
                <w:color w:val="auto"/>
                <w:w w:val="97"/>
                <w:vertAlign w:val="superscript"/>
              </w:rPr>
              <w:t>$</w:t>
            </w:r>
          </w:p>
        </w:tc>
        <w:tc>
          <w:tcPr>
            <w:tcW w:w="4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769</w:t>
            </w:r>
          </w:p>
        </w:tc>
        <w:tc>
          <w:tcPr>
            <w:tcW w:w="22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w:t>
            </w: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136</w:t>
            </w:r>
          </w:p>
        </w:tc>
        <w:tc>
          <w:tcPr>
            <w:tcW w:w="1120" w:type="dxa"/>
            <w:vAlign w:val="bottom"/>
            <w:gridSpan w:val="5"/>
          </w:tcPr>
          <w:p>
            <w:pPr>
              <w:jc w:val="right"/>
              <w:spacing w:after="0"/>
              <w:rPr>
                <w:sz w:val="20"/>
                <w:szCs w:val="20"/>
                <w:color w:val="auto"/>
              </w:rPr>
            </w:pPr>
            <w:r>
              <w:rPr>
                <w:rFonts w:ascii="Arial" w:cs="Arial" w:eastAsia="Arial" w:hAnsi="Arial"/>
                <w:sz w:val="16"/>
                <w:szCs w:val="16"/>
                <w:color w:val="auto"/>
              </w:rPr>
              <w:t>17.7 %</w:t>
            </w:r>
          </w:p>
        </w:tc>
      </w:tr>
      <w:tr>
        <w:trPr>
          <w:trHeight w:val="20"/>
        </w:trPr>
        <w:tc>
          <w:tcPr>
            <w:tcW w:w="3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57"/>
        </w:trPr>
        <w:tc>
          <w:tcPr>
            <w:tcW w:w="3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-3222625</wp:posOffset>
            </wp:positionV>
            <wp:extent cx="77470" cy="1797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-3222625</wp:posOffset>
            </wp:positionV>
            <wp:extent cx="68580" cy="1797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-2562225</wp:posOffset>
            </wp:positionV>
            <wp:extent cx="7132320" cy="146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-676275</wp:posOffset>
            </wp:positionV>
            <wp:extent cx="7132320" cy="316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on Our Non-GAAP Financial Information</w:t>
      </w:r>
    </w:p>
    <w:p>
      <w:pPr>
        <w:spacing w:after="0" w:line="21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Non-GAAP financial measures adjust GAAP financial measures for the items listed below. These Non-GAAP financial measures should be viewed in addition to, and not as a substitute for, MKS' reported GAAP results, and may be different from Non-GAAP financial measures used by other companies. In addition, these Non-GAAP financial measures are not based on any comprehensive set of accounting rules or principles. MKS management believes the presentation of these Non-GAAP financial measures is useful to investors for comparing prior periods and analyzing ongoing business trends and operating results. Totals presented may not sum and percentages may not recalculate using figures presented due to rounding.</w:t>
      </w:r>
    </w:p>
    <w:p>
      <w:pPr>
        <w:spacing w:after="0" w:line="53"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Note 1: Acquisition and integration costs during the three and twelve months ended December 31, 2022 and the three months ended September 30, 2022 primarily related to our acquisition of Atotech (the “Atotech Acquisition”). Acquisition and integration costs during the three and twelve months ended December 31, 2021 primarily related to our acquisition of Photon Control Inc. (“Photon Control”) in July 2021 and the Atotech Acquisition. Acquisition and integration costs during the twelve months ended December 31, 2021 also included costs related to a proposed acquisition that was not consummated.</w:t>
      </w:r>
    </w:p>
    <w:p>
      <w:pPr>
        <w:spacing w:after="0" w:line="4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Note 2: Costs of revenues during the three and twelve months ended December 31, 2022 and the three months ended September 30, 2022 include the amortization from the step-up of inventory to fair value as a result of the Atotech Acquisition.</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Note 3: We recorded additional interest expense related to the amortization of debt issuance costs associated with our new and prior term loan facilities.</w:t>
      </w:r>
    </w:p>
    <w:p>
      <w:pPr>
        <w:spacing w:after="0" w:line="14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Note 4: Restructuring and other costs during the three months ended December 31, 2022 primarily related to the closure of two facilities in Europe and movement of certain products to low cost regions. Restructuring and other costs during the three months ended September 30, 2022 primarily related to executive payments made related to the Atotech Acquisition. Restructuring and other costs during the twelve months ended December 31, 2022 primarily related to executive payments made related to the Atotech Acquisition, severance costs due to a global cost-saving initiative, the closure of two facilities in Europe and movement of certain products to low cost regions. Restructuring and other costs during the three and twelve months ended December 31, 2021 primarily related to severance costs due to a global cost saving initiative, costs related to the closure of two facilities in Europe and movement of certain products to low cost regions. In addition, restructuring and other costs during the twelve months ended December 31, 2021 included duplicate facility costs attributed to entering into new facility leases.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Note 5: We recorded a gain on the sale of a minority interest investment in a private company.</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Note 6: We realized a gain in the twelve months ended December 31, 2022 from a euro currency contract used to hedge our financing in connection with the Atotech Acquisition. The contract expired on January 31, 2022. We recorded a fair value gain from the aforementioned euro currency contract in the three and twelve months ended December 31, 2021. We also recorded a fair value loss in the twelve months ended December 31, 2021 from Canadian dollar contracts used to hedge the funding of our acquisition of Photon Control.</w:t>
      </w:r>
    </w:p>
    <w:p>
      <w:pPr>
        <w:spacing w:after="0" w:line="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Note 7: We no longer intend to indefinitely reinvest earnings of our foreign subsidiaries after the Atotech Acquisition. Additional income tax expense was recorded to reflect an estimate of withholding taxes that would be due on repatriation of prior period earnings.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8: We recorded windfall tax benefits on the vesting of stock-based compensation.</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Note 9: We recorded additional withholding taxes on intercompany undistributed earnings following the United Kingdom’s withdrawal from the European Union.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Note 10: Non-GAAP adjustments are tax effected at applicable statutory rates resulting in a difference between the GAAP and Non-GAAP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558165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9" w:name="page20"/>
    <w:bookmarkEnd w:id="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2023-02-27T22:56:25Z</dcterms:created>
  <dcterms:modified xsi:type="dcterms:W3CDTF">2023-02-27T22:56:25Z</dcterms:modified>
</cp:coreProperties>
</file>