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43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040" w:type="dxa"/>
            <w:vAlign w:val="bottom"/>
            <w:tcBorders>
              <w:bottom w:val="single" w:sz="8" w:color="auto"/>
            </w:tcBorders>
            <w:gridSpan w:val="2"/>
          </w:tcPr>
          <w:p>
            <w:pPr>
              <w:spacing w:after="0"/>
              <w:rPr>
                <w:sz w:val="17"/>
                <w:szCs w:val="17"/>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77"/>
        </w:trPr>
        <w:tc>
          <w:tcPr>
            <w:tcW w:w="7660" w:type="dxa"/>
            <w:vAlign w:val="bottom"/>
            <w:gridSpan w:val="5"/>
          </w:tcPr>
          <w:p>
            <w:pPr>
              <w:jc w:val="center"/>
              <w:ind w:left="822"/>
              <w:spacing w:after="0"/>
              <w:rPr>
                <w:sz w:val="20"/>
                <w:szCs w:val="20"/>
                <w:color w:val="auto"/>
              </w:rPr>
            </w:pPr>
            <w:r>
              <w:rPr>
                <w:rFonts w:ascii="Times New Roman" w:cs="Times New Roman" w:eastAsia="Times New Roman" w:hAnsi="Times New Roman"/>
                <w:sz w:val="18"/>
                <w:szCs w:val="18"/>
                <w:b w:val="1"/>
                <w:bCs w:val="1"/>
                <w:color w:val="auto"/>
              </w:rPr>
              <w:t>Commission file number 0-23621</w:t>
            </w:r>
          </w:p>
        </w:tc>
      </w:tr>
      <w:tr>
        <w:trPr>
          <w:trHeight w:val="20"/>
        </w:trPr>
        <w:tc>
          <w:tcPr>
            <w:tcW w:w="496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611"/>
        </w:trPr>
        <w:tc>
          <w:tcPr>
            <w:tcW w:w="5360" w:type="dxa"/>
            <w:vAlign w:val="bottom"/>
            <w:gridSpan w:val="3"/>
          </w:tcPr>
          <w:p>
            <w:pPr>
              <w:jc w:val="center"/>
              <w:ind w:left="3102"/>
              <w:spacing w:after="0"/>
              <w:rPr>
                <w:sz w:val="20"/>
                <w:szCs w:val="20"/>
                <w:color w:val="auto"/>
              </w:rPr>
            </w:pPr>
            <w:r>
              <w:rPr>
                <w:rFonts w:ascii="Times New Roman" w:cs="Times New Roman" w:eastAsia="Times New Roman" w:hAnsi="Times New Roman"/>
                <w:sz w:val="43"/>
                <w:szCs w:val="43"/>
                <w:b w:val="1"/>
                <w:bCs w:val="1"/>
                <w:color w:val="auto"/>
              </w:rPr>
              <w:t>MKS INC.</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60"/>
        </w:trPr>
        <w:tc>
          <w:tcPr>
            <w:tcW w:w="7660" w:type="dxa"/>
            <w:vAlign w:val="bottom"/>
            <w:gridSpan w:val="5"/>
          </w:tcPr>
          <w:p>
            <w:pPr>
              <w:jc w:val="center"/>
              <w:ind w:left="82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72"/>
        </w:trPr>
        <w:tc>
          <w:tcPr>
            <w:tcW w:w="536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04-2277512</w:t>
            </w:r>
          </w:p>
        </w:tc>
      </w:tr>
      <w:tr>
        <w:trPr>
          <w:trHeight w:val="148"/>
        </w:trPr>
        <w:tc>
          <w:tcPr>
            <w:tcW w:w="5360" w:type="dxa"/>
            <w:vAlign w:val="bottom"/>
            <w:gridSpan w:val="3"/>
          </w:tcPr>
          <w:p>
            <w:pPr>
              <w:jc w:val="center"/>
              <w:ind w:right="24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0" w:type="dxa"/>
            <w:vAlign w:val="bottom"/>
          </w:tcPr>
          <w:p>
            <w:pPr>
              <w:spacing w:after="0"/>
              <w:rPr>
                <w:sz w:val="12"/>
                <w:szCs w:val="12"/>
                <w:color w:val="auto"/>
              </w:rPr>
            </w:pPr>
          </w:p>
        </w:tc>
        <w:tc>
          <w:tcPr>
            <w:tcW w:w="2100" w:type="dxa"/>
            <w:vAlign w:val="bottom"/>
          </w:tcPr>
          <w:p>
            <w:pPr>
              <w:jc w:val="center"/>
              <w:ind w:left="9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360" w:type="dxa"/>
            <w:vAlign w:val="bottom"/>
            <w:gridSpan w:val="3"/>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00" w:type="dxa"/>
            <w:vAlign w:val="bottom"/>
          </w:tcPr>
          <w:p>
            <w:pPr>
              <w:spacing w:after="0"/>
              <w:rPr>
                <w:sz w:val="16"/>
                <w:szCs w:val="16"/>
                <w:color w:val="auto"/>
              </w:rPr>
            </w:pPr>
          </w:p>
        </w:tc>
        <w:tc>
          <w:tcPr>
            <w:tcW w:w="21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536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 Tech Drive, Andover, Massachusetts</w:t>
            </w:r>
          </w:p>
        </w:tc>
        <w:tc>
          <w:tcPr>
            <w:tcW w:w="23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5360" w:type="dxa"/>
            <w:vAlign w:val="bottom"/>
            <w:gridSpan w:val="3"/>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1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(978) 645-5500</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9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MKSI</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58" w:lineRule="exact"/>
        <w:rPr>
          <w:sz w:val="24"/>
          <w:szCs w:val="24"/>
          <w:color w:val="auto"/>
        </w:rPr>
      </w:pPr>
    </w:p>
    <w:p>
      <w:pPr>
        <w:jc w:val="both"/>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3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2026, the registrant had 67,544,129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786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1.</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2026 and December 31, 2025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 Three Months Ended March 31,</w:t>
            </w:r>
          </w:p>
        </w:tc>
        <w:tc>
          <w:tcPr>
            <w:tcW w:w="4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2026 and 2025</w:t>
            </w:r>
          </w:p>
        </w:tc>
        <w:tc>
          <w:tcPr>
            <w:tcW w:w="814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 Three Months Ended March 31, 2026 and 2025</w:t>
            </w:r>
          </w:p>
        </w:tc>
        <w:tc>
          <w:tcPr>
            <w:tcW w:w="122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2026 and 2025</w:t>
            </w:r>
          </w:p>
        </w:tc>
        <w:tc>
          <w:tcPr>
            <w:tcW w:w="190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4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2.</w:t>
            </w:r>
          </w:p>
        </w:tc>
        <w:tc>
          <w:tcPr>
            <w:tcW w:w="8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3.</w:t>
            </w:r>
          </w:p>
        </w:tc>
        <w:tc>
          <w:tcPr>
            <w:tcW w:w="62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00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4.</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0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440" w:type="dxa"/>
            <w:vAlign w:val="bottom"/>
          </w:tcPr>
          <w:p>
            <w:pPr>
              <w:spacing w:after="0"/>
              <w:rPr>
                <w:sz w:val="24"/>
                <w:szCs w:val="2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1A.</w:t>
            </w:r>
          </w:p>
        </w:tc>
        <w:tc>
          <w:tcPr>
            <w:tcW w:w="1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94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5.</w:t>
            </w:r>
          </w:p>
        </w:tc>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30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6.</w:t>
            </w:r>
          </w:p>
        </w:tc>
        <w:tc>
          <w:tcPr>
            <w:tcW w:w="9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628"/>
        </w:trPr>
        <w:tc>
          <w:tcPr>
            <w:tcW w:w="1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gridSpan w:val="9"/>
          </w:tcPr>
          <w:p>
            <w:pPr>
              <w:ind w:left="400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March 31, 2026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doubtful accounts of $5 at both March 31, 2026</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December 31, 2025</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r>
      <w:tr>
        <w:trPr>
          <w:trHeight w:val="216"/>
        </w:trPr>
        <w:tc>
          <w:tcPr>
            <w:tcW w:w="7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8"/>
                <w:szCs w:val="18"/>
                <w:color w:val="auto"/>
              </w:rPr>
            </w:pPr>
          </w:p>
        </w:tc>
      </w:tr>
      <w:tr>
        <w:trPr>
          <w:trHeight w:val="24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3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8,796</w:t>
            </w:r>
          </w:p>
        </w:tc>
      </w:tr>
      <w:tr>
        <w:trPr>
          <w:trHeight w:val="197"/>
        </w:trPr>
        <w:tc>
          <w:tcPr>
            <w:tcW w:w="76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64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3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4,150</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accrued compensation</w:t>
            </w:r>
          </w:p>
        </w:tc>
        <w:tc>
          <w:tcPr>
            <w:tcW w:w="1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r>
      <w:tr>
        <w:trPr>
          <w:trHeight w:val="210"/>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6,077</w:t>
            </w: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2 shares authorized; no shares issued and outstanding</w:t>
            </w:r>
          </w:p>
        </w:tc>
        <w:tc>
          <w:tcPr>
            <w:tcW w:w="1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no par value, 200 shares authorized; 67.3 and 67.2 shares issued and outstanding</w:t>
            </w: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March 31, 2026 and December 31, 2025, respectively</w:t>
            </w:r>
          </w:p>
        </w:tc>
        <w:tc>
          <w:tcPr>
            <w:tcW w:w="1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778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7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8,796</w:t>
            </w:r>
          </w:p>
        </w:tc>
      </w:tr>
      <w:tr>
        <w:trPr>
          <w:trHeight w:val="20"/>
        </w:trPr>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-4500245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-4500245</wp:posOffset>
            </wp:positionV>
            <wp:extent cx="77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-3385820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-3368040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-3385820</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-3368040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-2536825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-1422400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7620"/>
        <w:spacing w:after="0" w:line="236" w:lineRule="auto"/>
        <w:rPr>
          <w:sz w:val="20"/>
          <w:szCs w:val="20"/>
          <w:color w:val="auto"/>
        </w:rPr>
      </w:pPr>
      <w:r>
        <w:rPr>
          <w:rFonts w:ascii="Times New Roman" w:cs="Times New Roman" w:eastAsia="Times New Roman" w:hAnsi="Times New Roman"/>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06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 (exclusive of amortization shown separately below)</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r>
      <w:tr>
        <w:trPr>
          <w:trHeight w:val="20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settlement</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Fees and expenses related to debt activities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r>
      <w:tr>
        <w:trPr>
          <w:trHeight w:val="202"/>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r>
      <w:tr>
        <w:trPr>
          <w:trHeight w:val="23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FF0FC"/>
          </w:tcPr>
          <w:p>
            <w:pPr>
              <w:spacing w:after="0"/>
              <w:rPr>
                <w:sz w:val="20"/>
                <w:szCs w:val="20"/>
                <w:color w:val="auto"/>
              </w:rPr>
            </w:pPr>
          </w:p>
        </w:tc>
      </w:tr>
      <w:tr>
        <w:trPr>
          <w:trHeight w:val="183"/>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value of financial instruments designated as cash flow</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hedges</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net investment hedges</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pension gain</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3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20"/>
                <w:szCs w:val="20"/>
                <w:color w:val="auto"/>
              </w:rPr>
            </w:pPr>
          </w:p>
        </w:tc>
      </w:tr>
      <w:tr>
        <w:trPr>
          <w:trHeight w:val="183"/>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10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-4354195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-3830955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-2785745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-1731010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-1713865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-796290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-779145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5"/>
            <w:vMerge w:val="restart"/>
          </w:tcPr>
          <w:p>
            <w:pPr>
              <w:jc w:val="right"/>
              <w:ind w:right="483"/>
              <w:spacing w:after="0"/>
              <w:rPr>
                <w:sz w:val="20"/>
                <w:szCs w:val="20"/>
                <w:color w:val="auto"/>
              </w:rPr>
            </w:pPr>
            <w:r>
              <w:rPr>
                <w:rFonts w:ascii="Times New Roman" w:cs="Times New Roman" w:eastAsia="Times New Roman" w:hAnsi="Times New Roman"/>
                <w:sz w:val="14"/>
                <w:szCs w:val="14"/>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Comprehensive</w:t>
            </w:r>
          </w:p>
        </w:tc>
        <w:tc>
          <w:tcPr>
            <w:tcW w:w="2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(Loss) Income</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4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67.2</w:t>
            </w: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7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2,101</w:t>
            </w:r>
          </w:p>
        </w:tc>
        <w:tc>
          <w:tcPr>
            <w:tcW w:w="80" w:type="dxa"/>
            <w:vAlign w:val="bottom"/>
            <w:shd w:val="clear" w:color="auto" w:fill="CFF0FC"/>
          </w:tcPr>
          <w:p>
            <w:pPr>
              <w:spacing w:after="0"/>
              <w:rPr>
                <w:sz w:val="12"/>
                <w:szCs w:val="12"/>
                <w:color w:val="auto"/>
              </w:rPr>
            </w:pPr>
          </w:p>
        </w:tc>
        <w:tc>
          <w:tcPr>
            <w:tcW w:w="300" w:type="dxa"/>
            <w:vAlign w:val="bottom"/>
            <w:gridSpan w:val="3"/>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issuance under stock-based plans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 ($0.25 per common share)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4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right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right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right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7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67.3</w:t>
            </w: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20" w:type="dxa"/>
            <w:vAlign w:val="bottom"/>
          </w:tcPr>
          <w:p>
            <w:pPr>
              <w:jc w:val="right"/>
              <w:ind w:right="723"/>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2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2"/>
                <w:szCs w:val="12"/>
                <w:color w:val="auto"/>
              </w:rPr>
            </w:pPr>
          </w:p>
        </w:tc>
        <w:tc>
          <w:tcPr>
            <w:tcW w:w="3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1"/>
        </w:trPr>
        <w:tc>
          <w:tcPr>
            <w:tcW w:w="34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5"/>
            <w:vMerge w:val="restart"/>
          </w:tcPr>
          <w:p>
            <w:pPr>
              <w:jc w:val="right"/>
              <w:ind w:right="463"/>
              <w:spacing w:after="0"/>
              <w:rPr>
                <w:sz w:val="20"/>
                <w:szCs w:val="20"/>
                <w:color w:val="auto"/>
              </w:rPr>
            </w:pPr>
            <w:r>
              <w:rPr>
                <w:rFonts w:ascii="Times New Roman" w:cs="Times New Roman" w:eastAsia="Times New Roman" w:hAnsi="Times New Roman"/>
                <w:sz w:val="14"/>
                <w:szCs w:val="14"/>
                <w:color w:val="auto"/>
              </w:rPr>
              <w:t>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Comprehensive</w:t>
            </w:r>
          </w:p>
        </w:tc>
        <w:tc>
          <w:tcPr>
            <w:tcW w:w="2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(Loss) Income</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4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67.4</w:t>
            </w: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7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w:t>
            </w:r>
          </w:p>
        </w:tc>
        <w:tc>
          <w:tcPr>
            <w:tcW w:w="80" w:type="dxa"/>
            <w:vAlign w:val="bottom"/>
            <w:shd w:val="clear" w:color="auto" w:fill="CFF0FC"/>
          </w:tcPr>
          <w:p>
            <w:pPr>
              <w:spacing w:after="0"/>
              <w:rPr>
                <w:sz w:val="12"/>
                <w:szCs w:val="12"/>
                <w:color w:val="auto"/>
              </w:rPr>
            </w:pPr>
          </w:p>
        </w:tc>
        <w:tc>
          <w:tcPr>
            <w:tcW w:w="3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(248)</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issuance under stock-based plans</w:t>
            </w: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 ($0.22 per common share)</w:t>
            </w:r>
          </w:p>
        </w:tc>
        <w:tc>
          <w:tcPr>
            <w:tcW w:w="4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760" w:type="dxa"/>
            <w:vAlign w:val="bottom"/>
            <w:shd w:val="clear" w:color="auto" w:fill="CFF0FC"/>
          </w:tcPr>
          <w:p>
            <w:pPr>
              <w:spacing w:after="0"/>
              <w:rPr>
                <w:sz w:val="12"/>
                <w:szCs w:val="12"/>
                <w:color w:val="auto"/>
              </w:rPr>
            </w:pPr>
          </w:p>
        </w:tc>
        <w:tc>
          <w:tcPr>
            <w:tcW w:w="40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66.9</w:t>
            </w:r>
          </w:p>
        </w:tc>
        <w:tc>
          <w:tcPr>
            <w:tcW w:w="8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70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w:t>
            </w:r>
          </w:p>
        </w:tc>
        <w:tc>
          <w:tcPr>
            <w:tcW w:w="80" w:type="dxa"/>
            <w:vAlign w:val="bottom"/>
            <w:shd w:val="clear" w:color="auto" w:fill="CFF0FC"/>
          </w:tcPr>
          <w:p>
            <w:pPr>
              <w:spacing w:after="0"/>
              <w:rPr>
                <w:sz w:val="12"/>
                <w:szCs w:val="12"/>
                <w:color w:val="auto"/>
              </w:rPr>
            </w:pPr>
          </w:p>
        </w:tc>
        <w:tc>
          <w:tcPr>
            <w:tcW w:w="3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(225)</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-1636395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-1636395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-1636395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-1636395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-1636395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loss (gain) on foreign currency and derivative instruments</w:t>
            </w: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and non-current accrued compensation</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borrowing</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of borrowings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 payments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payments related to employee stock awards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-2279650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-1996440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-599440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52" w:hanging="752"/>
        <w:spacing w:after="0"/>
        <w:tabs>
          <w:tab w:leader="none" w:pos="7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752"/>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terms “MKS” and the “Company” refer to MKS Inc. and its subsidiaries. All intercompany accounts and transactions have been eliminated in consolidation. The interim financial data as of March 31, 2026, and for the three months ended March 31, 2026, are unaudited; however, in the opinion of MKS, the interim data includes all adjustments, consisting of normal recurring adjustments, necessary for a fair statement of the results for the interim periods. The condensed consolidated balance sheet presented as of December 31, 2025 has been derived from the consolidated audited financial statements as of that date. The unaudited condensed consolidated financial statements presented herein have been prepared in accordance with the instructions to Form 10-Q pursuant to the rules and regulations of the U.S. Securities and Exchange Commission (the “SEC”). Certain information and footnote disclosures normally included in financial statements prepared in accordance with accounting principles generally accepted in the United States have been condensed or omitted pursuant to such rules and regulations. The unaudited condensed consolidated financial statements should be read in conjunction with the audited consolidated financial statements and notes thereto included in the MKS Annual Report on Form 10-K for the year ended December 31, 2025, filed with the SEC on February 24, 2026.</w:t>
      </w:r>
    </w:p>
    <w:p>
      <w:pPr>
        <w:spacing w:after="0" w:line="68" w:lineRule="exact"/>
        <w:rPr>
          <w:rFonts w:ascii="Times New Roman" w:cs="Times New Roman" w:eastAsia="Times New Roman" w:hAnsi="Times New Roman"/>
          <w:sz w:val="18"/>
          <w:szCs w:val="18"/>
          <w:b w:val="1"/>
          <w:bCs w:val="1"/>
          <w:color w:val="auto"/>
        </w:rPr>
      </w:pPr>
    </w:p>
    <w:p>
      <w:pPr>
        <w:ind w:left="752"/>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preparation of these unaudited condensed consolidated financial statements requires management to make estimates and assumptions that affect the reported amounts of assets and liabilities and the disclosure of contingent liabilities at the date of the unaudited condensed consolidated financial statements and the reported amounts of revenues and expenses during the reporting period. On an ongoing basis, management evaluates its estimates and judgments, including those related to revenue recognition, inventory valuation, warranty costs, pension plan valuations, stock-based compensation expense, intangible assets, goodwill, long-lived assets, income taxes and derivatives.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As a result of rounding, there may be immaterial differences in amounts presented and certain calculations may not sum to the total number expressed in each category or tie to a corresponding schedule.</w:t>
      </w:r>
    </w:p>
    <w:p>
      <w:pPr>
        <w:spacing w:after="0" w:line="65" w:lineRule="exact"/>
        <w:rPr>
          <w:rFonts w:ascii="Times New Roman" w:cs="Times New Roman" w:eastAsia="Times New Roman" w:hAnsi="Times New Roman"/>
          <w:sz w:val="18"/>
          <w:szCs w:val="18"/>
          <w:b w:val="1"/>
          <w:bCs w:val="1"/>
          <w:color w:val="auto"/>
        </w:rPr>
      </w:pPr>
    </w:p>
    <w:p>
      <w:pPr>
        <w:ind w:left="752"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the Vacuum Solutions Division (“VSD”), the Photonics Solutions Division (“PSD”) and the Materials Solutions Division (“MSD”) as described in Note 15.</w:t>
      </w:r>
    </w:p>
    <w:p>
      <w:pPr>
        <w:spacing w:after="0" w:line="157" w:lineRule="exact"/>
        <w:rPr>
          <w:rFonts w:ascii="Times New Roman" w:cs="Times New Roman" w:eastAsia="Times New Roman" w:hAnsi="Times New Roman"/>
          <w:sz w:val="18"/>
          <w:szCs w:val="18"/>
          <w:b w:val="1"/>
          <w:bCs w:val="1"/>
          <w:color w:val="auto"/>
        </w:rPr>
      </w:pPr>
    </w:p>
    <w:p>
      <w:pPr>
        <w:ind w:left="752" w:hanging="752"/>
        <w:spacing w:after="0"/>
        <w:tabs>
          <w:tab w:leader="none" w:pos="7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rFonts w:ascii="Times New Roman" w:cs="Times New Roman" w:eastAsia="Times New Roman" w:hAnsi="Times New Roman"/>
          <w:sz w:val="18"/>
          <w:szCs w:val="18"/>
          <w:b w:val="1"/>
          <w:bCs w:val="1"/>
          <w:color w:val="auto"/>
        </w:rPr>
      </w:pPr>
    </w:p>
    <w:p>
      <w:pPr>
        <w:ind w:left="752"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Income Statement—Reporting Comprehensive Income—Expense Disaggregation Disclosures (Subtopic 220-40): Disaggregation of Income Statement Expenses</w:t>
      </w:r>
    </w:p>
    <w:p>
      <w:pPr>
        <w:spacing w:after="0" w:line="161" w:lineRule="exact"/>
        <w:rPr>
          <w:rFonts w:ascii="Times New Roman" w:cs="Times New Roman" w:eastAsia="Times New Roman" w:hAnsi="Times New Roman"/>
          <w:sz w:val="18"/>
          <w:szCs w:val="18"/>
          <w:b w:val="1"/>
          <w:bCs w:val="1"/>
          <w:color w:val="auto"/>
        </w:rPr>
      </w:pPr>
    </w:p>
    <w:p>
      <w:pPr>
        <w:ind w:left="752"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Statement—Reporting Comprehensive Income—Expense Disaggregation Disclosures (Subtopic 220-40): Disaggregation of Income Statement Expenses (“ASU 2024-03”), which requires public companies to disclose, in interim and annual reporting periods, additional disaggregated information about certain income statement expense line items in the notes to financial statements. The amendments in ASU 2024-03 are effective for annual reporting periods beginning after December 15, 2026, and interim reporting periods beginning after December 15, 2027, with early adoption permitted. The Company is currently evaluating the impact on its consolidated financial statement disclosures; however, adoption will not impact its consolidated balance sheets, cash flows or income statements.</w:t>
      </w:r>
    </w:p>
    <w:p>
      <w:pPr>
        <w:spacing w:after="0" w:line="188"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Derivatives and Hedging (Topic 815): Hedge Accounting Improvements</w:t>
      </w:r>
    </w:p>
    <w:p>
      <w:pPr>
        <w:spacing w:after="0" w:line="225" w:lineRule="exact"/>
        <w:rPr>
          <w:rFonts w:ascii="Times New Roman" w:cs="Times New Roman" w:eastAsia="Times New Roman" w:hAnsi="Times New Roman"/>
          <w:sz w:val="18"/>
          <w:szCs w:val="18"/>
          <w:b w:val="1"/>
          <w:bCs w:val="1"/>
          <w:color w:val="auto"/>
        </w:rPr>
      </w:pPr>
    </w:p>
    <w:p>
      <w:pPr>
        <w:jc w:val="both"/>
        <w:ind w:left="7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which focuses on aligning hedge accounting with the economics of an entity’s risk management activities. The amendments in ASU 2025-09 are effective for annual reporting periods beginning after December 15, 2026, and interim periods within those annual reporting periods, with early adoption permitted. The Company is currently evaluating the impact of adopting the new standard.</w:t>
      </w:r>
    </w:p>
    <w:p>
      <w:pPr>
        <w:spacing w:after="0" w:line="179"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Government Grants (Topic 832): Accounting for Government Grants Received by Business Entities</w:t>
      </w:r>
    </w:p>
    <w:p>
      <w:pPr>
        <w:spacing w:after="0" w:line="225" w:lineRule="exact"/>
        <w:rPr>
          <w:sz w:val="20"/>
          <w:szCs w:val="20"/>
          <w:color w:val="auto"/>
        </w:rPr>
      </w:pPr>
    </w:p>
    <w:p>
      <w:pPr>
        <w:ind w:left="752" w:right="460"/>
        <w:spacing w:after="0" w:line="282"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(“ASU 2025-10”), which establishes authoritative guidance on the recognition,</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6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7" w:lineRule="exact"/>
        <w:rPr>
          <w:sz w:val="20"/>
          <w:szCs w:val="20"/>
          <w:color w:val="auto"/>
        </w:rPr>
      </w:pPr>
    </w:p>
    <w:p>
      <w:pPr>
        <w:ind w:left="760" w:right="40"/>
        <w:spacing w:after="0" w:line="261" w:lineRule="auto"/>
        <w:rPr>
          <w:sz w:val="20"/>
          <w:szCs w:val="20"/>
          <w:color w:val="auto"/>
        </w:rPr>
      </w:pPr>
      <w:r>
        <w:rPr>
          <w:rFonts w:ascii="Times New Roman" w:cs="Times New Roman" w:eastAsia="Times New Roman" w:hAnsi="Times New Roman"/>
          <w:sz w:val="18"/>
          <w:szCs w:val="18"/>
          <w:color w:val="auto"/>
        </w:rPr>
        <w:t>measurement, presentation and disclosure of government grants received by business entities. The amendments in ASU 2025-10 are effective for annual reporting periods beginning after December 15, 2028, and interim reporting periods within those annual reporting periods, with early adoption permitted. The Company is currently evaluating the impact of adopting ASU 2025-10 but does not expect ASU 2025-10 adoption to have a material impact on its consolidated financial statements.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Interim Reporting (Topic 270): Narrow-Scope Improvements</w:t>
      </w:r>
    </w:p>
    <w:p>
      <w:pPr>
        <w:spacing w:after="0" w:line="225"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which clarifies interim disclosure requirements and the applicability of Topic 270. The amendments in ASU 2025-11 are effective for interim reporting periods within annual reporting periods beginning after December 15, 2027, with early adoption permitted. The Company is currently evaluating the impact of adopting ASU 2025-11 but does not expect ASU 2025-11 adoption to have a material impact on its consolidated financial statements.</w:t>
      </w:r>
    </w:p>
    <w:p>
      <w:pPr>
        <w:spacing w:after="0" w:line="395"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rFonts w:ascii="Times New Roman" w:cs="Times New Roman" w:eastAsia="Times New Roman" w:hAnsi="Times New Roman"/>
          <w:sz w:val="18"/>
          <w:szCs w:val="18"/>
          <w:b w:val="1"/>
          <w:bCs w:val="1"/>
          <w:color w:val="auto"/>
        </w:rPr>
      </w:pPr>
    </w:p>
    <w:p>
      <w:pPr>
        <w:ind w:left="760" w:right="28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Contract assets as of March 31, 2026 and December 31, 2025 were $34 and $45, respectively. Contract assets reflect revenue recognized and performance obligations satisfied or partially satisfied in advance of customer billing. The Company has elected to use the practical expedient and is not disclosing the remaining performance obligations related to deferred revenue and customer advances because these obligations generally have a duration of less than one year. A roll forward of the Company’s deferred revenue and customer advances was as follows:</w:t>
      </w:r>
    </w:p>
    <w:p>
      <w:pPr>
        <w:spacing w:after="0" w:line="106"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280" w:type="dxa"/>
            <w:vAlign w:val="bottom"/>
            <w:tcBorders>
              <w:bottom w:val="single" w:sz="8" w:color="auto"/>
            </w:tcBorders>
            <w:gridSpan w:val="5"/>
          </w:tcPr>
          <w:p>
            <w:pPr>
              <w:jc w:val="right"/>
              <w:ind w:right="808"/>
              <w:spacing w:after="0"/>
              <w:rPr>
                <w:sz w:val="20"/>
                <w:szCs w:val="20"/>
                <w:color w:val="auto"/>
              </w:rPr>
            </w:pPr>
            <w:r>
              <w:rPr>
                <w:rFonts w:ascii="Times New Roman" w:cs="Times New Roman" w:eastAsia="Times New Roman" w:hAnsi="Times New Roman"/>
                <w:sz w:val="14"/>
                <w:szCs w:val="14"/>
                <w:color w:val="auto"/>
              </w:rPr>
              <w:t>Three Months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74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Beginning of period</w:t>
            </w:r>
            <w:r>
              <w:rPr>
                <w:rFonts w:ascii="Times New Roman" w:cs="Times New Roman" w:eastAsia="Times New Roman" w:hAnsi="Times New Roman"/>
                <w:sz w:val="24"/>
                <w:szCs w:val="24"/>
                <w:color w:val="auto"/>
                <w:vertAlign w:val="superscript"/>
              </w:rPr>
              <w:t>(1)</w:t>
            </w:r>
          </w:p>
        </w:tc>
        <w:tc>
          <w:tcPr>
            <w:tcW w:w="1340" w:type="dxa"/>
            <w:vAlign w:val="bottom"/>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deferred revenue and customer advances</w:t>
            </w:r>
          </w:p>
        </w:tc>
        <w:tc>
          <w:tcPr>
            <w:tcW w:w="13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of deferred revenue and customer advances recognized in income</w:t>
            </w:r>
          </w:p>
        </w:tc>
        <w:tc>
          <w:tcPr>
            <w:tcW w:w="13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674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End of period</w:t>
            </w:r>
            <w:r>
              <w:rPr>
                <w:rFonts w:ascii="Times New Roman" w:cs="Times New Roman" w:eastAsia="Times New Roman" w:hAnsi="Times New Roman"/>
                <w:sz w:val="24"/>
                <w:szCs w:val="24"/>
                <w:color w:val="auto"/>
                <w:vertAlign w:val="superscript"/>
              </w:rPr>
              <w:t>(2)</w:t>
            </w:r>
          </w:p>
        </w:tc>
        <w:tc>
          <w:tcPr>
            <w:tcW w:w="1340" w:type="dxa"/>
            <w:vAlign w:val="bottom"/>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1460" w:type="dxa"/>
            <w:vAlign w:val="bottom"/>
            <w:gridSpan w:val="2"/>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-264795</wp:posOffset>
            </wp:positionV>
            <wp:extent cx="603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1140" w:right="100" w:hanging="390"/>
        <w:spacing w:after="0" w:line="238" w:lineRule="auto"/>
        <w:tabs>
          <w:tab w:leader="none" w:pos="1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Beginning deferred revenue and customer advances balances as of January 1, 2026 included $79 of current deferred revenue and customer advances and $4 of long-term deferred revenue. Beginning deferred revenue and customer advances balances as of January 1, 2025 included $71 of current deferred revenue and customer advances and $2 of long-term deferred revenue. The majority of the amount of deferred revenue and customer advances recognized in income during each of the three months ended March 31, 2026 and March 31, 2025 was included in the deferred revenue balance at the beginning of each respective period.</w:t>
      </w:r>
    </w:p>
    <w:p>
      <w:pPr>
        <w:spacing w:after="0" w:line="3" w:lineRule="exact"/>
        <w:rPr>
          <w:rFonts w:ascii="Times New Roman" w:cs="Times New Roman" w:eastAsia="Times New Roman" w:hAnsi="Times New Roman"/>
          <w:sz w:val="24"/>
          <w:szCs w:val="24"/>
          <w:color w:val="auto"/>
          <w:vertAlign w:val="superscript"/>
        </w:rPr>
      </w:pPr>
    </w:p>
    <w:p>
      <w:pPr>
        <w:ind w:left="1140" w:right="220" w:hanging="390"/>
        <w:spacing w:after="0" w:line="225" w:lineRule="auto"/>
        <w:tabs>
          <w:tab w:leader="none" w:pos="1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Ending deferred revenue and customer advances balances as of March 31, 2026 included $101 of current deferred revenue and customer advances and $5 of long-term deferred revenue. Ending deferred revenue and customer advances balances as of March 31, 2025 included $70 of current deferred revenue and customer advances and $4 of long-term deferred revenue.</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from certain custom products, including MSD plating equipment, and revenue from certain service contracts are recorded over time.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Remaining product and service revenues are recorded at a point in time.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ind w:left="760"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in the Company’s three end markets: Semiconductor, Electronics and Packaging, and Specialty Industrial.</w:t>
      </w:r>
    </w:p>
    <w:p>
      <w:pPr>
        <w:spacing w:after="0" w:line="49"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Electronics and Packaging</w:t>
            </w:r>
          </w:p>
        </w:tc>
        <w:tc>
          <w:tcPr>
            <w:tcW w:w="1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Industrial</w:t>
            </w:r>
          </w:p>
        </w:tc>
        <w:tc>
          <w:tcPr>
            <w:tcW w:w="1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Refer to Note 15 for revenue by reportable segment, geography and groupings of similar products.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ind w:right="-31"/>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52" w:hanging="752"/>
        <w:spacing w:after="0"/>
        <w:tabs>
          <w:tab w:leader="none" w:pos="7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752"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8" w:lineRule="exact"/>
        <w:rPr>
          <w:sz w:val="20"/>
          <w:szCs w:val="20"/>
          <w:color w:val="auto"/>
        </w:rPr>
      </w:pPr>
    </w:p>
    <w:p>
      <w:pPr>
        <w:ind w:left="752" w:right="160"/>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68" w:lineRule="exact"/>
        <w:rPr>
          <w:sz w:val="20"/>
          <w:szCs w:val="20"/>
          <w:color w:val="auto"/>
        </w:rPr>
      </w:pPr>
    </w:p>
    <w:p>
      <w:pPr>
        <w:ind w:left="1492" w:right="40" w:hanging="694"/>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54" w:lineRule="exact"/>
        <w:rPr>
          <w:sz w:val="20"/>
          <w:szCs w:val="20"/>
          <w:color w:val="auto"/>
        </w:rPr>
      </w:pPr>
    </w:p>
    <w:p>
      <w:pPr>
        <w:ind w:left="1492" w:right="40" w:hanging="694"/>
        <w:spacing w:after="0" w:line="258"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w:t>
      </w:r>
    </w:p>
    <w:p>
      <w:pPr>
        <w:spacing w:after="0" w:line="75" w:lineRule="exact"/>
        <w:rPr>
          <w:sz w:val="20"/>
          <w:szCs w:val="20"/>
          <w:color w:val="auto"/>
        </w:rPr>
      </w:pPr>
    </w:p>
    <w:p>
      <w:pPr>
        <w:ind w:left="1492" w:hanging="694"/>
        <w:spacing w:after="0" w:line="261"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72" w:lineRule="exact"/>
        <w:rPr>
          <w:sz w:val="20"/>
          <w:szCs w:val="20"/>
          <w:color w:val="auto"/>
        </w:rPr>
      </w:pPr>
    </w:p>
    <w:p>
      <w:pPr>
        <w:ind w:left="752" w:right="380"/>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Company categorizes such assets and liabilities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9" w:name="page10"/>
    <w:bookmarkEnd w:id="9"/>
    <w:p>
      <w:pPr>
        <w:jc w:val="center"/>
        <w:ind w:right="73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Assets and liabilities of the Company are measured at fair value on a recurring basis as of March 31, 2026, and are summarized as follows: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tcBorders>
              <w:bottom w:val="single" w:sz="8" w:color="auto"/>
            </w:tcBorders>
            <w:gridSpan w:val="10"/>
          </w:tcPr>
          <w:p>
            <w:pPr>
              <w:ind w:left="800"/>
              <w:spacing w:after="0"/>
              <w:rPr>
                <w:sz w:val="20"/>
                <w:szCs w:val="20"/>
                <w:color w:val="auto"/>
              </w:rPr>
            </w:pPr>
            <w:r>
              <w:rPr>
                <w:rFonts w:ascii="Times New Roman" w:cs="Times New Roman" w:eastAsia="Times New Roman" w:hAnsi="Times New Roman"/>
                <w:sz w:val="14"/>
                <w:szCs w:val="14"/>
                <w:color w:val="auto"/>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4"/>
                <w:szCs w:val="14"/>
                <w:color w:val="auto"/>
              </w:rPr>
              <w:t>Quoted Prices in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42"/>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102"/>
              <w:spacing w:after="0" w:line="149" w:lineRule="exact"/>
              <w:rPr>
                <w:sz w:val="20"/>
                <w:szCs w:val="20"/>
                <w:color w:val="auto"/>
              </w:rPr>
            </w:pPr>
            <w:r>
              <w:rPr>
                <w:rFonts w:ascii="Times New Roman" w:cs="Times New Roman" w:eastAsia="Times New Roman" w:hAnsi="Times New Roman"/>
                <w:sz w:val="14"/>
                <w:szCs w:val="14"/>
                <w:color w:val="auto"/>
              </w:rPr>
              <w:t>Active Markets for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82"/>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Description</w:t>
            </w:r>
          </w:p>
        </w:tc>
        <w:tc>
          <w:tcPr>
            <w:tcW w:w="16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March 31, 2026</w:t>
            </w:r>
          </w:p>
        </w:tc>
        <w:tc>
          <w:tcPr>
            <w:tcW w:w="1360" w:type="dxa"/>
            <w:vAlign w:val="bottom"/>
          </w:tcPr>
          <w:p>
            <w:pPr>
              <w:jc w:val="center"/>
              <w:ind w:left="102"/>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Cash equivalents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96</w:t>
            </w:r>
          </w:p>
        </w:tc>
        <w:tc>
          <w:tcPr>
            <w:tcW w:w="3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Time deposits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Equity securities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Available-for-sale securities: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Group insurance contracts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Derivatives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rate swaps - non-current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Pension and deferred compensation plan assets</w:t>
            </w: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98</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Derivatives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Foreign exchange forward contracts - current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Reported as follows: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80"/>
              <w:spacing w:after="0" w:line="205" w:lineRule="exact"/>
              <w:rPr>
                <w:sz w:val="20"/>
                <w:szCs w:val="20"/>
                <w:color w:val="auto"/>
              </w:rPr>
            </w:pPr>
            <w:r>
              <w:rPr>
                <w:rFonts w:ascii="Times New Roman" w:cs="Times New Roman" w:eastAsia="Times New Roman" w:hAnsi="Times New Roman"/>
                <w:sz w:val="15"/>
                <w:szCs w:val="15"/>
                <w:color w:val="auto"/>
              </w:rPr>
              <w:t>Cash and cash equivalents</w:t>
            </w:r>
            <w:r>
              <w:rPr>
                <w:rFonts w:ascii="Times New Roman" w:cs="Times New Roman" w:eastAsia="Times New Roman" w:hAnsi="Times New Roman"/>
                <w:sz w:val="20"/>
                <w:szCs w:val="20"/>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96</w:t>
            </w:r>
          </w:p>
        </w:tc>
        <w:tc>
          <w:tcPr>
            <w:tcW w:w="3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2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Total current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96</w:t>
            </w: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-1919605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-1919605</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-1919605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-1919605</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-1370965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-1370965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-1370965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-1370965</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-556895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-539115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-556895</wp:posOffset>
            </wp:positionV>
            <wp:extent cx="59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-539115</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-556895</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-539115</wp:posOffset>
            </wp:positionV>
            <wp:extent cx="59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-556895</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-539115</wp:posOffset>
            </wp:positionV>
            <wp:extent cx="59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 w:lineRule="exact"/>
        <w:rPr>
          <w:sz w:val="20"/>
          <w:szCs w:val="20"/>
          <w:color w:val="auto"/>
        </w:rPr>
      </w:pPr>
    </w:p>
    <w:p>
      <w:pPr>
        <w:jc w:val="center"/>
        <w:ind w:left="4790" w:right="1480" w:hanging="4790"/>
        <w:spacing w:after="0" w:line="405" w:lineRule="auto"/>
        <w:tabs>
          <w:tab w:leader="none" w:pos="387"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cash and cash equivalents amount presented in the table above does not include cash of $463 as of March 31, 2026.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347345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769" w:right="339" w:bottom="1440" w:gutter="0" w:footer="0" w:header="0"/>
        </w:sectPr>
      </w:pPr>
    </w:p>
    <w:bookmarkStart w:id="10" w:name="page11"/>
    <w:bookmarkEnd w:id="10"/>
    <w:p>
      <w:pPr>
        <w:jc w:val="center"/>
        <w:ind w:right="73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Assets and liabilities of the Company are measured at fair value on a recurring basis as of December 31, 2025, and are summarized as follows:</w:t>
      </w:r>
    </w:p>
    <w:p>
      <w:pPr>
        <w:spacing w:after="0" w:line="221"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8"/>
          </w:tcPr>
          <w:p>
            <w:pPr>
              <w:jc w:val="right"/>
              <w:ind w:right="724"/>
              <w:spacing w:after="0"/>
              <w:rPr>
                <w:sz w:val="20"/>
                <w:szCs w:val="20"/>
                <w:color w:val="auto"/>
              </w:rPr>
            </w:pPr>
            <w:r>
              <w:rPr>
                <w:rFonts w:ascii="Times New Roman" w:cs="Times New Roman" w:eastAsia="Times New Roman" w:hAnsi="Times New Roman"/>
                <w:sz w:val="14"/>
                <w:szCs w:val="14"/>
                <w:color w:val="auto"/>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color w:val="auto"/>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25"/>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color w:val="auto"/>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Description</w:t>
            </w:r>
          </w:p>
        </w:tc>
        <w:tc>
          <w:tcPr>
            <w:tcW w:w="80" w:type="dxa"/>
            <w:vAlign w:val="bottom"/>
          </w:tcPr>
          <w:p>
            <w:pPr>
              <w:spacing w:after="0"/>
              <w:rPr>
                <w:sz w:val="14"/>
                <w:szCs w:val="14"/>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Assets:</w:t>
            </w:r>
          </w:p>
        </w:tc>
        <w:tc>
          <w:tcPr>
            <w:tcW w:w="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Cash equivalents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Money market funds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34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380" w:type="dxa"/>
            <w:vAlign w:val="bottom"/>
            <w:gridSpan w:val="3"/>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Time deposits</w:t>
            </w:r>
          </w:p>
        </w:tc>
        <w:tc>
          <w:tcPr>
            <w:tcW w:w="8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Equity securities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Available-for-sale securities: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Group insurance contracts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Derivatives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Foreign exchange forward contracts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rate swaps - current</w:t>
            </w:r>
          </w:p>
        </w:tc>
        <w:tc>
          <w:tcPr>
            <w:tcW w:w="8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rate swaps - non-current</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Pension and deferred compensation plan assets</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4260" w:type="dxa"/>
            <w:vAlign w:val="bottom"/>
            <w:shd w:val="clear" w:color="auto" w:fill="CFF0FC"/>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299</w:t>
            </w:r>
          </w:p>
        </w:tc>
        <w:tc>
          <w:tcPr>
            <w:tcW w:w="34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248</w:t>
            </w:r>
          </w:p>
        </w:tc>
        <w:tc>
          <w:tcPr>
            <w:tcW w:w="380" w:type="dxa"/>
            <w:vAlign w:val="bottom"/>
            <w:gridSpan w:val="3"/>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51</w:t>
            </w:r>
          </w:p>
        </w:tc>
        <w:tc>
          <w:tcPr>
            <w:tcW w:w="3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6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Liabilities:</w:t>
            </w: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Derivatives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Foreign exchange forward contracts - current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34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Interest rate swaps - current</w:t>
            </w:r>
          </w:p>
        </w:tc>
        <w:tc>
          <w:tcPr>
            <w:tcW w:w="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Reported as follows:</w:t>
            </w: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Assets: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8"/>
                <w:szCs w:val="18"/>
                <w:color w:val="auto"/>
                <w:vertAlign w:val="superscript"/>
              </w:rPr>
              <w:t>(1)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34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380" w:type="dxa"/>
            <w:vAlign w:val="bottom"/>
            <w:gridSpan w:val="3"/>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3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shd w:val="clear" w:color="auto" w:fill="CFF0FC"/>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259</w:t>
            </w:r>
          </w:p>
        </w:tc>
        <w:tc>
          <w:tcPr>
            <w:tcW w:w="34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246</w:t>
            </w:r>
          </w:p>
        </w:tc>
        <w:tc>
          <w:tcPr>
            <w:tcW w:w="380" w:type="dxa"/>
            <w:vAlign w:val="bottom"/>
            <w:gridSpan w:val="3"/>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w:t>
            </w:r>
          </w:p>
        </w:tc>
        <w:tc>
          <w:tcPr>
            <w:tcW w:w="3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60" w:type="dxa"/>
            <w:vAlign w:val="bottom"/>
          </w:tcPr>
          <w:p>
            <w:pPr>
              <w:ind w:left="60"/>
              <w:spacing w:after="0" w:line="143" w:lineRule="exact"/>
              <w:rPr>
                <w:sz w:val="20"/>
                <w:szCs w:val="20"/>
                <w:color w:val="auto"/>
              </w:rPr>
            </w:pPr>
            <w:r>
              <w:rPr>
                <w:rFonts w:ascii="Times New Roman" w:cs="Times New Roman" w:eastAsia="Times New Roman" w:hAnsi="Times New Roman"/>
                <w:sz w:val="15"/>
                <w:szCs w:val="15"/>
                <w:color w:val="auto"/>
              </w:rPr>
              <w:t>Other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40</w:t>
            </w:r>
          </w:p>
        </w:tc>
        <w:tc>
          <w:tcPr>
            <w:tcW w:w="340" w:type="dxa"/>
            <w:vAlign w:val="bottom"/>
            <w:gridSpan w:val="3"/>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2</w:t>
            </w:r>
          </w:p>
        </w:tc>
        <w:tc>
          <w:tcPr>
            <w:tcW w:w="380" w:type="dxa"/>
            <w:vAlign w:val="bottom"/>
            <w:gridSpan w:val="3"/>
          </w:tcPr>
          <w:p>
            <w:pPr>
              <w:jc w:val="right"/>
              <w:ind w:right="10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38</w:t>
            </w:r>
          </w:p>
        </w:tc>
        <w:tc>
          <w:tcPr>
            <w:tcW w:w="34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Liabilities:</w:t>
            </w: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 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-1508125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-1490980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-1508125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-1490980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-1508125</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-1490980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-1508125</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-1490980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-1045210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-1045210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-1045210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-1045210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-385445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-368300</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-385445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-368300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-385445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-368300</wp:posOffset>
            </wp:positionV>
            <wp:extent cx="59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-385445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-368300</wp:posOffset>
            </wp:positionV>
            <wp:extent cx="59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951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10" w:right="1220" w:hanging="10"/>
        <w:spacing w:after="0" w:line="429" w:lineRule="auto"/>
        <w:tabs>
          <w:tab w:leader="none" w:pos="384"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cash and cash equivalents amount presented in the table above does not include cash of $418 as of December 31, 2025. </w:t>
      </w:r>
      <w:r>
        <w:rPr>
          <w:rFonts w:ascii="Times New Roman" w:cs="Times New Roman" w:eastAsia="Times New Roman" w:hAnsi="Times New Roman"/>
          <w:sz w:val="18"/>
          <w:szCs w:val="18"/>
          <w:u w:val="single" w:color="auto"/>
          <w:color w:val="auto"/>
        </w:rPr>
        <w:t>Other Fair Value Disclosures</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estimated carrying value and fair value of the Company’s debt were as follows:</w:t>
      </w:r>
    </w:p>
    <w:p>
      <w:pPr>
        <w:spacing w:after="0" w:line="113"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w w:val="98"/>
              </w:rPr>
              <w:t>March 31, 2026</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ind w:left="74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142"/>
        </w:trPr>
        <w:tc>
          <w:tcPr>
            <w:tcW w:w="4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Carrying Value</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Carrying Value</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r>
      <w:tr>
        <w:trPr>
          <w:trHeight w:val="19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1,588</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17"/>
                <w:szCs w:val="17"/>
                <w:color w:val="auto"/>
              </w:rPr>
            </w:pPr>
          </w:p>
        </w:tc>
        <w:tc>
          <w:tcPr>
            <w:tcW w:w="11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1,400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7"/>
                <w:szCs w:val="17"/>
                <w:color w:val="auto"/>
              </w:rPr>
            </w:pPr>
          </w:p>
        </w:tc>
      </w:tr>
      <w:tr>
        <w:trPr>
          <w:trHeight w:val="203"/>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2034 Notes</w:t>
            </w: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1,147</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4,135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-161925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-161925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-161925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6592570</wp:posOffset>
            </wp:positionH>
            <wp:positionV relativeFrom="paragraph">
              <wp:posOffset>-161925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 w:right="200"/>
        <w:spacing w:after="0" w:line="258" w:lineRule="auto"/>
        <w:rPr>
          <w:sz w:val="20"/>
          <w:szCs w:val="20"/>
          <w:color w:val="auto"/>
        </w:rPr>
      </w:pPr>
      <w:r>
        <w:rPr>
          <w:rFonts w:ascii="Times New Roman" w:cs="Times New Roman" w:eastAsia="Times New Roman" w:hAnsi="Times New Roman"/>
          <w:sz w:val="18"/>
          <w:szCs w:val="18"/>
          <w:color w:val="auto"/>
        </w:rPr>
        <w:t>The estimated fair values of the Company’s Term Loan Facility and 2034 Notes, each as defined and further described in Note 8, were determined using available market information based on recent trades or activity of debt instruments with substantially similar risks, terms and maturities, and fall within Level 2 under the fair value hierarchy. The estimated fair value of the Company’s Convertible Notes, as defined and further described in Note 8, was determined based on the last traded price of the Convertible Notes for the period ended March 31, 2026, and falls under Level 2 of the fair value hierarchy.</w: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Money Market Funds</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Money market funds are cash and cash equivalents and are classified within Level 1 of the fair value hierarchy.</w:t>
      </w:r>
    </w:p>
    <w:p>
      <w:pPr>
        <w:spacing w:after="0" w:line="185" w:lineRule="exact"/>
        <w:rPr>
          <w:sz w:val="20"/>
          <w:szCs w:val="20"/>
          <w:color w:val="auto"/>
        </w:rPr>
      </w:pPr>
    </w:p>
    <w:p>
      <w:pPr>
        <w:ind w:left="479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7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Pension and Deferred Compensation Plan Assets</w:t>
      </w:r>
    </w:p>
    <w:p>
      <w:pPr>
        <w:spacing w:after="0" w:line="225"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The pension and deferred compensation plan assets represent investments in mutual funds, exchange traded funds, government securities and other time deposits. These investments are set aside for retirement benefits for employees of certain of the Company’s subsidiaries.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ind w:left="760" w:right="120"/>
        <w:spacing w:after="0" w:line="256" w:lineRule="auto"/>
        <w:rPr>
          <w:sz w:val="20"/>
          <w:szCs w:val="20"/>
          <w:color w:val="auto"/>
        </w:rPr>
      </w:pPr>
      <w:r>
        <w:rPr>
          <w:rFonts w:ascii="Times New Roman" w:cs="Times New Roman" w:eastAsia="Times New Roman" w:hAnsi="Times New Roman"/>
          <w:sz w:val="18"/>
          <w:szCs w:val="18"/>
          <w:color w:val="auto"/>
        </w:rPr>
        <w:t>As a result of the Company’s global operating activities and variable interest rate borrowings, the Company is exposed to market risks from changes in foreign currency exchange rates and interest rates, which may adversely affect its operating results and financial position. When appropriate, the Company uses derivative financial instruments to minimize its exposure to risks from foreign currency exchange rate and interest rate fluctuations. The principal market in which the Company executes its foreign currency and interest rate contracts is the institutional market in an over-the-counter environment with a relatively high level of price transparency. The market participants are typically large commercial banks. The contracts are valued using broker quotations or market transactions.</w:t>
      </w:r>
    </w:p>
    <w:p>
      <w:pPr>
        <w:spacing w:after="0" w:line="183" w:lineRule="exact"/>
        <w:rPr>
          <w:sz w:val="20"/>
          <w:szCs w:val="20"/>
          <w:color w:val="auto"/>
        </w:rPr>
      </w:pPr>
    </w:p>
    <w:p>
      <w:pPr>
        <w:ind w:left="760" w:right="7460" w:hanging="752"/>
        <w:spacing w:after="0" w:line="532" w:lineRule="auto"/>
        <w:tabs>
          <w:tab w:leader="none" w:pos="76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Net Investment Hedges </w:t>
      </w:r>
      <w:r>
        <w:rPr>
          <w:rFonts w:ascii="Times New Roman" w:cs="Times New Roman" w:eastAsia="Times New Roman" w:hAnsi="Times New Roman"/>
          <w:sz w:val="17"/>
          <w:szCs w:val="17"/>
          <w:u w:val="single" w:color="auto"/>
          <w:color w:val="auto"/>
        </w:rPr>
        <w:t>Foreign Exchange Forward Contracts</w:t>
      </w:r>
    </w:p>
    <w:p>
      <w:pPr>
        <w:spacing w:after="0" w:line="1" w:lineRule="exact"/>
        <w:rPr>
          <w:rFonts w:ascii="Times New Roman" w:cs="Times New Roman" w:eastAsia="Times New Roman" w:hAnsi="Times New Roman"/>
          <w:sz w:val="17"/>
          <w:szCs w:val="17"/>
          <w:b w:val="1"/>
          <w:bCs w:val="1"/>
          <w:color w:val="auto"/>
        </w:rPr>
      </w:pPr>
    </w:p>
    <w:p>
      <w:pPr>
        <w:ind w:left="760" w:right="1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hedges a portion of its forecasted foreign currency-denominated intercompany sales of inventory and certain of its foreign subsidiaries’ operating expenses, over a maximum period of twenty-four months, using foreign exchange forward contracts accounted for as cash-flow hedges. To the extent these derivatives are effective in offsetting the variability of the hedged cash flows, and otherwise meet the hedge accounting criteria, changes in the derivatives’ fair value are not included in current earnings but are included in other comprehensive income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in earnings in the period it occurs. The cash flows resulting from foreign exchange forward contracts are classified in the condensed consolidated statements of cash flows as part of cash flows from operating activities.</w:t>
      </w:r>
    </w:p>
    <w:p>
      <w:pPr>
        <w:spacing w:after="0" w:line="64" w:lineRule="exact"/>
        <w:rPr>
          <w:rFonts w:ascii="Times New Roman" w:cs="Times New Roman" w:eastAsia="Times New Roman" w:hAnsi="Times New Roman"/>
          <w:sz w:val="17"/>
          <w:szCs w:val="17"/>
          <w:b w:val="1"/>
          <w:bCs w:val="1"/>
          <w:color w:val="auto"/>
        </w:rPr>
      </w:pPr>
    </w:p>
    <w:p>
      <w:pPr>
        <w:ind w:left="7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also enters into foreign exchange forward contracts to hedge against certain monetary asset and liability accounts on the condensed consolidated balance sheet to mitigate the risk associated with certain foreign currency transactions in the ordinary course of business. These derivatives are not designated as cash flow hedging instruments and gains or losses from these derivatives are recorded immediately in other (income) expense, net.</w:t>
      </w:r>
    </w:p>
    <w:p>
      <w:pPr>
        <w:spacing w:after="0" w:line="7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net notional values of foreign exchange forward contracts outstanding:</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Designated as cash flow hedging instruments:</w:t>
            </w: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 - cash flow hedges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Not designated as cash flow hedging instruments:</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 - balance sheet hedges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and December 31, 2025, the Canadian dollar was the only notional contract designated as a cash flow hedging instrument.</w:t>
      </w:r>
    </w:p>
    <w:p>
      <w:pPr>
        <w:spacing w:after="0" w:line="117" w:lineRule="exact"/>
        <w:rPr>
          <w:sz w:val="20"/>
          <w:szCs w:val="20"/>
          <w:color w:val="auto"/>
        </w:rPr>
      </w:pPr>
    </w:p>
    <w:p>
      <w:pPr>
        <w:ind w:left="760" w:right="4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Euro, Chinese yuan, British pound and New Taiwan dollar were the largest notional contracts for balance sheet hedges not designated as cash flow hedging instruments.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25" w:lineRule="exact"/>
        <w:rPr>
          <w:sz w:val="20"/>
          <w:szCs w:val="20"/>
          <w:color w:val="auto"/>
        </w:rPr>
      </w:pPr>
    </w:p>
    <w:p>
      <w:pPr>
        <w:ind w:left="760" w:right="500"/>
        <w:spacing w:after="0" w:line="282" w:lineRule="auto"/>
        <w:rPr>
          <w:sz w:val="20"/>
          <w:szCs w:val="20"/>
          <w:color w:val="auto"/>
        </w:rPr>
      </w:pPr>
      <w:r>
        <w:rPr>
          <w:rFonts w:ascii="Times New Roman" w:cs="Times New Roman" w:eastAsia="Times New Roman" w:hAnsi="Times New Roman"/>
          <w:sz w:val="18"/>
          <w:szCs w:val="18"/>
          <w:color w:val="auto"/>
        </w:rPr>
        <w:t>The Company designates certain Euro-denominated debt as net investment hedges to hedge a portion of its net investments in certain of its entities with functional currencies denominated in the Euro.</w:t>
      </w:r>
    </w:p>
    <w:p>
      <w:pPr>
        <w:spacing w:after="0" w:line="54" w:lineRule="exact"/>
        <w:rPr>
          <w:sz w:val="20"/>
          <w:szCs w:val="20"/>
          <w:color w:val="auto"/>
        </w:rPr>
      </w:pPr>
    </w:p>
    <w:p>
      <w:pPr>
        <w:ind w:left="760" w:right="440"/>
        <w:spacing w:after="0" w:line="261" w:lineRule="auto"/>
        <w:rPr>
          <w:sz w:val="20"/>
          <w:szCs w:val="20"/>
          <w:color w:val="auto"/>
        </w:rPr>
      </w:pPr>
      <w:r>
        <w:rPr>
          <w:rFonts w:ascii="Times New Roman" w:cs="Times New Roman" w:eastAsia="Times New Roman" w:hAnsi="Times New Roman"/>
          <w:sz w:val="18"/>
          <w:szCs w:val="18"/>
          <w:color w:val="auto"/>
        </w:rPr>
        <w:t>On February 4, 2026, the Company designated the 2034 Notes, as defined and discussed further in Note 8, as a net investment hedge. As of March 31, 2026, the total principal outstanding amount under the 2034 Notes was €1,000 and the entire balance was designated as a net investment hedge. In addition, on January 28, 2026, the Company entered into a foreign exchange forward contract with a notional value of €990, to manage its exposure to foreign currency exchange rate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fluctuations related to the principal of the 2034 Notes from January 28, 2026 through the settlement date of February 4, 2026. The foreign exchange forward contract was designated as a net investment hedge and the related gain was reflected in the proceeds from borrowing on the condensed consolidated statements of cash flows. As of March 31, 2026 and December 31, 2025, the total principal amount outstanding under the Euro Tranche B, as defined and described further in Note 8, was €587 and the entire balance was designated as a net investment hedge.</w:t>
      </w:r>
    </w:p>
    <w:p>
      <w:pPr>
        <w:spacing w:after="0" w:line="5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these net investment hedges, the Company records foreign currency remeasurement gains and losses within a component of OCI. Recognition in earnings of amounts previously recorded in accumulated OCI is limited to circumstances such as complete or substantially complete liquidation or sale of the net investment in the hedged foreign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Agreements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interest rate swap agreements, which are cash-flow hedges, maturing through January 31, 2029, that exchange a one-month forward-looking term rate based on the variable secured overnight financing rate (“Term SOFR”) paid on the outstanding balance of its USD Term Loan Facility, as defined and further described in Note 8, to a fixed rate. The notional value of the agreements was $500 and $1,900 as of March 31, 2026 and December 31, 2025, respectively. The decrease in notional value of the agreements was due to the Company de-designating certain interest rate swap agreements in the first quarter of 2026 in connection with the Company’s voluntary prepayment of the USD Tranche B loan, which resulted in the interest rate swaps no longer being effective hedges. The impact to the condensed consolidated financial statements was immaterial.</w:t>
      </w:r>
    </w:p>
    <w:p>
      <w:pPr>
        <w:spacing w:after="0" w:line="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interest rate swaps are recorded at fair value on the balance sheet and changes in the fair value are recognized in OCI. To the extent these arrangements are no longer effective hedges, the hedging relationship will be discontinued and changes in the fair value of the hedging instruments from the date of the last effectiveness assessment through the current period will be recorded immediately in earnings. Amounts previously recorded in OCI will remain in OCI and will be reclassified to earnings when the interest payments impact consolidated earnings. If the Company determines that the interest payments are unlikely to occur, amounts previously recorded in OCI will be reclassified to earnings. The cash flows resulting from interest rate agreements were classified in cash flows from operating activities in the condensed consolidated statements of cash flows.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net (losses) gains on derivatives designated as cash flow hedging instruments:</w:t>
      </w:r>
    </w:p>
    <w:p>
      <w:pPr>
        <w:spacing w:after="0" w:line="22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7900"/>
        <w:spacing w:after="0" w:line="236" w:lineRule="auto"/>
        <w:rPr>
          <w:sz w:val="20"/>
          <w:szCs w:val="20"/>
          <w:color w:val="auto"/>
        </w:rPr>
      </w:pPr>
      <w:r>
        <w:rPr>
          <w:rFonts w:ascii="Times New Roman" w:cs="Times New Roman" w:eastAsia="Times New Roman" w:hAnsi="Times New Roman"/>
          <w:sz w:val="14"/>
          <w:szCs w:val="14"/>
          <w:color w:val="auto"/>
        </w:rPr>
        <w:t>March 31,</w:t>
      </w:r>
    </w:p>
    <w:tbl>
      <w:tblPr>
        <w:tblLayout w:type="fixed"/>
        <w:tblInd w:w="40" w:type="dxa"/>
        <w:tblCellMar>
          <w:top w:w="0" w:type="dxa"/>
          <w:left w:w="0" w:type="dxa"/>
          <w:bottom w:w="0" w:type="dxa"/>
          <w:right w:w="0" w:type="dxa"/>
        </w:tblCellMar>
      </w:tblPr>
      <w:tr>
        <w:trPr>
          <w:trHeight w:val="142"/>
        </w:trPr>
        <w:tc>
          <w:tcPr>
            <w:tcW w:w="7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contracts-cash flow hedges: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(losses) gains recognized in OCI, net of tax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reclassified from accumulated OCI into cost of revenues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rate hedges: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recognized in OCI, net of tax</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(losses) gains reclassified from accumulated OCI into interest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bl>
    <w:p>
      <w:pPr>
        <w:spacing w:after="0" w:line="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expects an immaterial amount to be reclassified from accumulated OCI into cost of revenues during the next 12 months related to foreign exchange forward contracts. The Company expects a net gain of approximately $4 to be reclassified from accumulated OCI into interest expense during the next 12 months related to interest rate hedges.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net gains (losses) on derivatives not designated as hedging instruments:</w:t>
      </w:r>
    </w:p>
    <w:p>
      <w:pPr>
        <w:spacing w:after="0" w:line="22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-3175</wp:posOffset>
            </wp:positionV>
            <wp:extent cx="1980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19" w:lineRule="exact"/>
        <w:rPr>
          <w:sz w:val="20"/>
          <w:szCs w:val="20"/>
          <w:color w:val="auto"/>
        </w:rPr>
      </w:pPr>
    </w:p>
    <w:p>
      <w:pPr>
        <w:ind w:left="7840"/>
        <w:spacing w:after="0"/>
        <w:tabs>
          <w:tab w:leader="none" w:pos="9480" w:val="left"/>
        </w:tabs>
        <w:rPr>
          <w:sz w:val="20"/>
          <w:szCs w:val="20"/>
          <w:color w:val="auto"/>
        </w:rPr>
      </w:pPr>
      <w:r>
        <w:rPr>
          <w:rFonts w:ascii="Times New Roman" w:cs="Times New Roman" w:eastAsia="Times New Roman" w:hAnsi="Times New Roman"/>
          <w:sz w:val="14"/>
          <w:szCs w:val="14"/>
          <w:color w:val="auto"/>
        </w:rPr>
        <w:t>2026</w:t>
      </w:r>
      <w:r>
        <w:rPr>
          <w:sz w:val="20"/>
          <w:szCs w:val="20"/>
          <w:color w:val="auto"/>
        </w:rPr>
        <w:tab/>
      </w:r>
      <w:r>
        <w:rPr>
          <w:rFonts w:ascii="Times New Roman" w:cs="Times New Roman" w:eastAsia="Times New Roman" w:hAnsi="Times New Roman"/>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662622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5" w:lineRule="exact"/>
        <w:rPr>
          <w:sz w:val="20"/>
          <w:szCs w:val="20"/>
          <w:color w:val="auto"/>
        </w:rPr>
      </w:pPr>
    </w:p>
    <w:p>
      <w:pPr>
        <w:ind w:left="40"/>
        <w:spacing w:after="0"/>
        <w:tabs>
          <w:tab w:leader="none" w:pos="7240" w:val="left"/>
          <w:tab w:leader="none" w:pos="8600" w:val="left"/>
          <w:tab w:leader="none" w:pos="8900" w:val="left"/>
          <w:tab w:leader="none" w:pos="10260" w:val="left"/>
        </w:tabs>
        <w:rPr>
          <w:sz w:val="20"/>
          <w:szCs w:val="20"/>
          <w:color w:val="auto"/>
        </w:rPr>
      </w:pPr>
      <w:r>
        <w:rPr>
          <w:rFonts w:ascii="Times New Roman" w:cs="Times New Roman" w:eastAsia="Times New Roman" w:hAnsi="Times New Roman"/>
          <w:sz w:val="18"/>
          <w:szCs w:val="18"/>
          <w:color w:val="auto"/>
        </w:rPr>
        <w:t>Net gains (losses) recognized in other (income)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w:t>
        <w:tab/>
        <w:t>$</w:t>
      </w:r>
      <w:r>
        <w:rPr>
          <w:sz w:val="20"/>
          <w:szCs w:val="20"/>
          <w:color w:val="auto"/>
        </w:rPr>
        <w:tab/>
      </w:r>
      <w:r>
        <w:rPr>
          <w:rFonts w:ascii="Times New Roman" w:cs="Times New Roman" w:eastAsia="Times New Roman" w:hAnsi="Times New Roman"/>
          <w:sz w:val="18"/>
          <w:szCs w:val="18"/>
          <w:color w:val="auto"/>
        </w:rPr>
        <w:t>1</w:t>
      </w:r>
    </w:p>
    <w:p>
      <w:pPr>
        <w:spacing w:after="0" w:line="9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Derivative instruments are subject to master netting arrangements. However, the Company has elected to record these contracts on a gross basis in the condensed consolidated balance sheet. The location and fair value amounts of derivative instruments reported in the condensed consolidated balance sheet is disclosed in Note 4.</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March 31, 2026</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4"/>
                <w:szCs w:val="14"/>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40" w:type="dxa"/>
            <w:vAlign w:val="bottom"/>
            <w:shd w:val="clear" w:color="auto" w:fill="CFF0FC"/>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552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0"/>
        </w:trPr>
        <w:tc>
          <w:tcPr>
            <w:tcW w:w="55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760" w:right="8080" w:hanging="752"/>
        <w:spacing w:after="0" w:line="503" w:lineRule="auto"/>
        <w:tabs>
          <w:tab w:leader="none" w:pos="7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u w:val="single" w:color="auto"/>
          <w:color w:val="auto"/>
        </w:rPr>
        <w:t>Goodwill</w:t>
      </w:r>
    </w:p>
    <w:p>
      <w:pPr>
        <w:ind w:left="7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February 1, 2026, the Company reassigned goodwill to certain reporting units within PSD due to a reorganization of PSD. The goodwill was reassigned to the new reporting units using the relative fair value approach. The Company also concluded that the fair value of each reporting unit immediately before and after the reorganization exceeded its respective carrying value.</w:t>
      </w:r>
    </w:p>
    <w:p>
      <w:pPr>
        <w:spacing w:after="0" w:line="1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associated with each of the Company’s reportable segments was as follows:</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Reportable segment: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VSD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MSD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goodwill at December 31, 2025</w:t>
            </w: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goodwill at March 31, 2026</w:t>
            </w: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goodwill impairment at December 31, 2025</w:t>
            </w:r>
          </w:p>
        </w:tc>
        <w:tc>
          <w:tcPr>
            <w:tcW w:w="76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7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goodwill impairment at March 31, 2026</w:t>
            </w:r>
          </w:p>
        </w:tc>
        <w:tc>
          <w:tcPr>
            <w:tcW w:w="7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Goodwill, net of accumulated impairment and foreign currency</w:t>
            </w:r>
          </w:p>
        </w:tc>
        <w:tc>
          <w:tcPr>
            <w:tcW w:w="760" w:type="dxa"/>
            <w:vAlign w:val="bottom"/>
            <w:vMerge w:val="restart"/>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6"/>
                <w:szCs w:val="16"/>
                <w:color w:val="auto"/>
              </w:rPr>
            </w:pPr>
          </w:p>
        </w:tc>
        <w:tc>
          <w:tcPr>
            <w:tcW w:w="800" w:type="dxa"/>
            <w:vAlign w:val="bottom"/>
            <w:gridSpan w:val="2"/>
            <w:vMerge w:val="restart"/>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FF0FC"/>
          </w:tcPr>
          <w:p>
            <w:pPr>
              <w:spacing w:after="0"/>
              <w:rPr>
                <w:sz w:val="16"/>
                <w:szCs w:val="16"/>
                <w:color w:val="auto"/>
              </w:rPr>
            </w:pP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FF0FC"/>
          </w:tcPr>
          <w:p>
            <w:pPr>
              <w:spacing w:after="0"/>
              <w:rPr>
                <w:sz w:val="16"/>
                <w:szCs w:val="16"/>
                <w:color w:val="auto"/>
              </w:rPr>
            </w:pPr>
          </w:p>
        </w:tc>
        <w:tc>
          <w:tcPr>
            <w:tcW w:w="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translation adjustments at March 31, 2026</w:t>
            </w:r>
          </w:p>
        </w:tc>
        <w:tc>
          <w:tcPr>
            <w:tcW w:w="760" w:type="dxa"/>
            <w:vAlign w:val="bottom"/>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gridSpan w:val="2"/>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-565150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-565150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-565150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-565150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intangible assets were comprised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As of March 31, 2026</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color w:val="auto"/>
              </w:rPr>
              <w:t>Gross</w:t>
            </w:r>
          </w:p>
        </w:tc>
        <w:tc>
          <w:tcPr>
            <w:tcW w:w="18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Accumulated Impair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Accumulated</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ment Charges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Translation</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6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trade names and other</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shd w:val="clear" w:color="auto" w:fill="CFF0FC"/>
          </w:tcPr>
          <w:p>
            <w:pPr>
              <w:spacing w:after="0" w:line="20" w:lineRule="exact"/>
              <w:rPr>
                <w:sz w:val="1"/>
                <w:szCs w:val="1"/>
                <w:color w:val="auto"/>
              </w:rPr>
            </w:pPr>
          </w:p>
        </w:tc>
        <w:tc>
          <w:tcPr>
            <w:tcW w:w="4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(1,413)</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As of December 31, 2025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Gross</w:t>
            </w:r>
          </w:p>
        </w:tc>
        <w:tc>
          <w:tcPr>
            <w:tcW w:w="18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Accumulated Impair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ment Charges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Translation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6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1,268</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trade names and other</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shd w:val="clear" w:color="auto" w:fill="CFF0FC"/>
          </w:tcPr>
          <w:p>
            <w:pPr>
              <w:spacing w:after="0" w:line="20" w:lineRule="exact"/>
              <w:rPr>
                <w:sz w:val="1"/>
                <w:szCs w:val="1"/>
                <w:color w:val="auto"/>
              </w:rPr>
            </w:pPr>
          </w:p>
        </w:tc>
        <w:tc>
          <w:tcPr>
            <w:tcW w:w="44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3,721</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-1910715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-1910715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-1910715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-1910715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-1910715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-1053465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-1053465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-1053465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-1053465</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-1053465</wp:posOffset>
            </wp:positionV>
            <wp:extent cx="59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360"/>
        <w:spacing w:after="0" w:line="282" w:lineRule="auto"/>
        <w:rPr>
          <w:sz w:val="20"/>
          <w:szCs w:val="20"/>
          <w:color w:val="auto"/>
        </w:rPr>
      </w:pPr>
      <w:r>
        <w:rPr>
          <w:rFonts w:ascii="Times New Roman" w:cs="Times New Roman" w:eastAsia="Times New Roman" w:hAnsi="Times New Roman"/>
          <w:sz w:val="18"/>
          <w:szCs w:val="18"/>
          <w:color w:val="auto"/>
        </w:rPr>
        <w:t>Aggregate amortization expense related to acquired intangible assets for the three months ended March 31, 2026 and 2025 was $63 and $60, respectively.</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amortization expense related to acquired intangible assets for future years is as follows:</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Year</w:t>
            </w:r>
          </w:p>
        </w:tc>
        <w:tc>
          <w:tcPr>
            <w:tcW w:w="500" w:type="dxa"/>
            <w:vAlign w:val="bottom"/>
          </w:tcPr>
          <w:p>
            <w:pPr>
              <w:spacing w:after="0"/>
              <w:rPr>
                <w:sz w:val="14"/>
                <w:szCs w:val="14"/>
                <w:color w:val="auto"/>
              </w:rPr>
            </w:pP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Amount</w:t>
            </w:r>
          </w:p>
        </w:tc>
      </w:tr>
      <w:tr>
        <w:trPr>
          <w:trHeight w:val="21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5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5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The Company excluded from the above table intangible assets of $56 of indefinite-lived trademarks and trade names, which were not subject to amortization.</w:t>
      </w:r>
    </w:p>
    <w:p>
      <w:pPr>
        <w:spacing w:after="0" w:line="158"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outstanding debt was as follows: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March 31, 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0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09"/>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20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 - Convertible Notes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Convertible Notes, net</w:t>
            </w:r>
          </w:p>
        </w:tc>
        <w:tc>
          <w:tcPr>
            <w:tcW w:w="20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debt, net</w:t>
            </w: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2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 Term Loan Facility</w:t>
            </w:r>
          </w:p>
        </w:tc>
        <w:tc>
          <w:tcPr>
            <w:tcW w:w="2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51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Term Loan Facility, net</w:t>
            </w:r>
          </w:p>
        </w:tc>
        <w:tc>
          <w:tcPr>
            <w:tcW w:w="20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top w:val="single" w:sz="8" w:color="CFF0FC"/>
            </w:tcBorders>
          </w:tcPr>
          <w:p>
            <w:pPr>
              <w:spacing w:after="0"/>
              <w:rPr>
                <w:sz w:val="18"/>
                <w:szCs w:val="18"/>
                <w:color w:val="auto"/>
              </w:rPr>
            </w:pPr>
          </w:p>
        </w:tc>
      </w:tr>
      <w:tr>
        <w:trPr>
          <w:trHeight w:val="210"/>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2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 - Convertible Notes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Convertible Notes, net</w:t>
            </w:r>
          </w:p>
        </w:tc>
        <w:tc>
          <w:tcPr>
            <w:tcW w:w="20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2034 Notes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- 2034 Notes</w:t>
            </w:r>
          </w:p>
        </w:tc>
        <w:tc>
          <w:tcPr>
            <w:tcW w:w="2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2034 Notes, net</w:t>
            </w:r>
          </w:p>
        </w:tc>
        <w:tc>
          <w:tcPr>
            <w:tcW w:w="20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30"/>
        </w:trPr>
        <w:tc>
          <w:tcPr>
            <w:tcW w:w="5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long-term debt, net</w:t>
            </w:r>
          </w:p>
        </w:tc>
        <w:tc>
          <w:tcPr>
            <w:tcW w:w="2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-2331085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-2331085</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-1757045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-1757045</wp:posOffset>
            </wp:positionV>
            <wp:extent cx="59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-1174115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-1174115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-599440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-599440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-316865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Credit Facilities</w:t>
      </w:r>
    </w:p>
    <w:p>
      <w:pPr>
        <w:spacing w:after="0" w:line="225"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8"/>
          <w:szCs w:val="18"/>
          <w:color w:val="auto"/>
        </w:rPr>
        <w:t>On August 17, 2022, the Company entered into a credit agreement with JPMorgan Chase Bank, N.A., as administrative agent and collateral agent, Barclays Bank PLC, and the lenders from time to time party thereto, which the Company has amended several times, including most recently in February 2026 (as amended, the “Credit Agreement”). As of March 31, 2026, after giving effect to all amendments and repayments prior to such date, the Credit Agreement provided for (i) a senior secured term loan facility comprised of two tranches: a $914 loan (as refinanced and otherwise modified from time to time, the “USD Tranche B”) and a €587 loan (as refinanced and otherwise modified from time to time, the “Euro Tranche B” and together with the USD Tranche B, the “Term Loan Facility”) and (ii) a senior secured revolving credit facility with aggregate commitments of $1,000 (as refinanced and otherwise modified from time to time, the “Revolving Facility” and together with the Term Loan Facility, the “Credit Facilities”).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March 31, 2026, borrowings under the Credit Facilities bore interest at a rate per annum equal to, at the Company’s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Term SOFR for an interest period of one month, plus 1.00%; and (y) a Term SOFR rate for the interest period relevant to such borrowing and (b) with respect to the Euro Tranche B, a Euro Interbank Offered Rate (“EURIBOR”) rate determined by reference to the costs of funds for Euro deposits for the interest period relevant to such borrowing adjusted for certain additional costs, in each case of clauses (a) and (b) above subject to a rate floor of 0.0%. As of March 31, 2026, the applicable margins for borrowings under the Credit Facilities were (i) under the USD Tranche B and the Revolving Facility, 0.75% with respect to base rate borrowings and 1.75% with respect to Term SOFR borrowings, and (ii) under the Euro Tranche B, 2.00%.</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Credit Facilities, the Company is required to pay a commitment fee in respect of the unutilized commitments under the Revolving Facility. The commitment fee is subject to adjustment based on the Company’s first lien net leverage ratio as of the end of the preceding fiscal quarter. As of March 31, 2026, the commitment fee was 0.25% per annum. The Company must also pay customary letter of credit fees and agency fees.</w:t>
      </w:r>
    </w:p>
    <w:p>
      <w:pPr>
        <w:spacing w:after="0" w:line="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On February 4, 2026, the Company entered into the Sixth Amendment to Credit Agreement (the “Sixth Amendment”), pursuant to which the Company, among other things, (i) refinanced its then-existing USD Tranche B loan and Euro Tranche B loan with the $914 USD Tranche B loan and the €587 Euro Tranche B loan, (ii) refinanced and increased the commitments under its then-existing Revolving Facility with the $1,000 Revolving Facility, (iii) decreased the applicable margin for the USD Tranche B from 2.00% to 1.75% with respect to Term SOFR borrowings and from 1.00% to 0.75% with respect to base rate borrowings, (iv) decreased the applicable margin for the Euro Tranche B from 2.50% to 2.00%, (v) decreased the applicable margin under the Revolving Facility from 2.50% to 1.75% with respect to SOFR borrowings and from</w:t>
      </w:r>
    </w:p>
    <w:p>
      <w:pPr>
        <w:spacing w:after="0" w:line="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1.50% to 0.75% with respect to base rate borrowings, (vi) eliminated the credit spread adjustment applicable to SOFR borrowings of the Revolving Facility and (vii) extended the maturities of the Term Loan Facility to February 2033 and the Revolving Facility to February 2031. The refinanced USD Tranche B loan and Euro Tranche B loan were issued without original issue discount. In connection with the execution of the Sixth Amendment, the Company paid customary fees and expenses to JPMorgan Chase Bank, N.A.</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February 4, 2026, concurrently with the effectiveness of the Sixth Amendment, the Company made a voluntary prepayment of $1,274 principal amount to its then-existing USD Tranche B loan using the net proceeds from the 2034 Notes (as defined below), together with cash on hand, reducing the outstanding principal amount of the USD Tranche B loan from $2,188 to $914.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the Company made a voluntary prepayment of $100 principal amount on the USD Tranche B loan.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Credit Agreement, the Company is required to prepay outstanding term loans, subject to certain exceptions, with portions of its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the Company is required to repay outstanding loans and/or cash collateralize letters of credit, with no reduction of the commitment amount.</w:t>
      </w:r>
    </w:p>
    <w:p>
      <w:pPr>
        <w:spacing w:after="0" w:line="7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The Company may voluntarily prepay outstanding loans under the Credit Facilities from time to time, subject to certain conditions, without premium or penalty other than customary “breakage” costs with respect to Term SOFR or EURIBOR loans; provided, however, that subject to certain exceptions, if on or prior to August 4, 2026, the Company prepays any loans under the USD Tranche B or the Euro Tranche B in connection with a repricing transaction, the Company must pay a prepayment premium of 1.00% of the aggregate principal amount of the loans so prepaid. Additionally, the Company may voluntarily reduce the unutilized portion of the commitment amount under the Revolving Facility.</w:t>
      </w:r>
    </w:p>
    <w:p>
      <w:pPr>
        <w:spacing w:after="0" w:line="6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was required to make scheduled quarterly principal payments equal to $2 with respect to the USD Tranche B and €2 with respect to the Euro Tranche B, in each case with the balance due thereunder on the maturity date of the Term Loan Facility. There is no scheduled amortization under the Revolving Facility. Any principal amount outstanding under the Revolving Facility is due and payable in full on the maturity date of the Revolving Facility.</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Facilities are guaranteed by certain of the Company’s wholly-owned domestic subsidiaries and are required to be guaranteed by certain of the Company’s future wholly-owned domestic subsidiaries, and are secured by substantially all of the Company’s assets and the assets of such subsidiaries, subject to certain exceptions and exclusions.</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6" w:name="page17"/>
    <w:bookmarkEnd w:id="16"/>
    <w:p>
      <w:pPr>
        <w:jc w:val="center"/>
        <w:ind w:right="72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covenants and provisions relating to events of default. If an event of default occurs, the lenders under the Credit Facilities will be entitled to take various actions, including the acceleration of amounts due under the Credit Facilities and all actions permitted to be taken by a secured creditor. As of March 31, 2026, the Company was in compliance with all covenants under the Credit Agreement. The USD Tranche B and the Euro Tranche B are not subject to financial maintenance covenants.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interest rate of the Term Loan Facility was 4.79%. As of March 31, 2026, there were no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16, 2024, the Company completed a private offering of $1,400 aggregate principal amount of its convertible senior notes due 2030 (the “Convertible Notes”).</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net proceeds from the offering were approximately $1,374 after deducting the initial purchasers’ discounts and commissions and estimated offering expenses paid by the Company. The Company used approximately $167 of the net proceeds from the offering to pay the cost of the capped call transactions described below. The Company used the remaining net proceeds from the offering to repay approximately $1,206 in borrowings outstanding under the USD Tranche B, together with accrued interest, as well as for general corporate purposes. As a result of the repayment, the Company recorded a $38 loss on extinguishment of debt in the three months ended June 30,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Indenture and the Convertible Notes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16, 2024, the Company entered into an indenture (the “Convertible Notes Indenture”) with respect to the Convertible Notes with U.S. Bank Trust Company, National Association, as trustee (the “Convertible Notes Trustee”). Under the Convertible Notes Indenture, the Convertible Notes are senior unsecured obligations of the Company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certain conditions, on or after June 5, 2027, the Company may redeem for cash all or any portion of the Convertible Notes at a redemption price equal to 100% of the principal amount of the Convertible Notes to be redeemed, plus accrued and unpaid interest to, but excluding, the redemption date, if the last reported sale price of the Company’s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conversion rate for the Convertible Notes was initially 6.4799 shares of the Company’s common stock per one thousand dollars principal amount of the Convertible Notes, which is equivalent to an initial conversion price of approximately $154.32 per share. Effective April 1, 2026, the conversion rate for the Convertible Notes was adjusted to 6.4807 shares of the Company’s common stock per one thousand dollars principal amount of the Convertible Notes, which is equivalent to a conversion price of approximately $154.30 per share. The conversion rate is subject to adjustment upon the occurrence of certain events.</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conversion, the Company will pay cash up to the aggregate principal amount of the Convertible Notes to be converted and pay or deliver, as the case may be, cash, shares of common stock or a combination of cash and shares of common stock, at the Company’s election, in respect of the remainder, if any, of its conversion obligation in excess of the aggregate principal amount of the Convertible Notes being converted. Prior to the close of business on the business day immediately preceding March 1, 2030, noteholders may convert all or any portion of their Convertible Notes under the following circumstances:</w:t>
      </w:r>
    </w:p>
    <w:p>
      <w:pPr>
        <w:spacing w:after="0" w:line="75" w:lineRule="exact"/>
        <w:rPr>
          <w:sz w:val="20"/>
          <w:szCs w:val="20"/>
          <w:color w:val="auto"/>
        </w:rPr>
      </w:pPr>
    </w:p>
    <w:p>
      <w:pPr>
        <w:ind w:left="1020" w:hanging="515"/>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the calendar quarter ended September 30, 2024,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applicable conversion price of the Convertible Notes on each applicable trading day (the “Sale Price Condition”) (approximately $200.59 per share based on the current conversion price of approximately $154.30 per share, which is subject to further adjustment upon the occurrence of certain events);</w:t>
      </w:r>
    </w:p>
    <w:p>
      <w:pPr>
        <w:spacing w:after="0" w:line="1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769" w:right="359" w:bottom="1440" w:gutter="0" w:footer="0" w:header="0"/>
        </w:sectPr>
      </w:pPr>
    </w:p>
    <w:bookmarkStart w:id="17" w:name="page18"/>
    <w:bookmarkEnd w:id="17"/>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20" w:right="140" w:hanging="515"/>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the Company’s common stock and the applicable conversion rate on each such trading day;</w:t>
      </w:r>
    </w:p>
    <w:p>
      <w:pPr>
        <w:spacing w:after="0" w:line="71" w:lineRule="exact"/>
        <w:rPr>
          <w:rFonts w:ascii="Times New Roman" w:cs="Times New Roman" w:eastAsia="Times New Roman" w:hAnsi="Times New Roman"/>
          <w:sz w:val="18"/>
          <w:szCs w:val="18"/>
          <w:color w:val="auto"/>
        </w:rPr>
      </w:pPr>
    </w:p>
    <w:p>
      <w:pPr>
        <w:ind w:left="1020" w:right="280" w:hanging="515"/>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specified in the Convertible Notes Indenture.</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or after March 1, 2030, until the close of business on the second scheduled trading day immediately preceding the maturity date, noteholders may convert all or any portion of their Convertible Notes at any time.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Convertible Notes Indenture) prior to the maturity date of the Convertible Notes, holders may require the Company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7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Convertible Notes Indenture contains customary terms and covenants, including that upon certain events of default that are occurring and continuing, either the Convertible Notes Trustee or the holders of at least 25% in aggregate principal amount of the outstanding Convertible Notes may declare 100% of the principal of, and accrued and unpaid interest, if any, on, all the Convertible Notes to be due and payable.</w:t>
      </w:r>
    </w:p>
    <w:p>
      <w:pPr>
        <w:spacing w:after="0" w:line="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Sale Price Condition for the Convertible Notes was met during the calendar quarter ended March 31, 2026, and as a result, the Convertible Notes are convertible, in whole or in part, at the option of the holders thereof at any time during the calendar quarter ending June 30, 2026 and have been classified as short-term debt, net of issuance costs, on the condensed consolidated balance sheet as of March 31, 2026. The Convertible Notes were issued at par and costs associated with the issuance of the Convertible Notes are amortized to interest expense over the contractual term of the Convertible Notes. There were no conversions of the Convertible Notes in the calendar quarter ended March 31, 2026 or the year ended December 31, 2025. As of March 31, 2026, the effective interest rate of the Convertible Notes was 1.56%.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13, 2024, in connection with the pricing of the Convertible Notes, and on May 14, 2024, in connection with the exercise in full by the initial purchasers of their option to purchase additional Convertible Notes, the Company entered into privately negotiated capped call transactions (“Convertible Debt Capped Calls”) with certain of the initial purchasers of the Convertible Notes or their respective affiliates and other financial institutions. The Convertible Debt Capped Calls are expected generally to reduce the potential dilution to the Company’s common stock upon conversion of any Convertible Notes and/or offset any cash payments that the Company is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the Company’s common stock on The Nasdaq Global Select Market on May 13, 2024, and is subject to customary adjustments under the terms of the Convertible Debt Capped Calls.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evaluated the Convertible Debt Capped Calls and determined that they should be accounted for separately from the Convertible Notes. The cost of $167 to purchase the Convertible Debt Capped Calls was recorded as a reduction to additional paid-in capital in the condensed consolidated balance sheet as the Convertible Debt Capped Calls are indexed to the Company’s own stock and met the criteria to be classified in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2034 Notes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4, 2026, the Company completed a private offering (the “2034 Notes Offering”) of €1,000 aggregate principal amount of senior notes due 2034 (the “2034 Notes”). The 2034 Notes were sold in a private placement to persons reasonably believed to be qualified institutional buyers in reliance on Rule 144A under the Securities Act of 1933, as amended (the “Securities Act”), and to non-U.S. persons outside the United States in reliance on Regulation S under the Securities Act. The Company used the net proceeds from the 2034 Notes Offering, together with cash on hand, to prepay approximately $1,274 of the USD Tranche B.</w:t>
      </w:r>
    </w:p>
    <w:p>
      <w:pPr>
        <w:spacing w:after="0" w:line="1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8" w:name="page19"/>
    <w:bookmarkEnd w:id="18"/>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2034 Notes Indenture and the 2034 Notes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4, 2026, the Company and the Guarantors (as defined below) entered into an indenture (the “2034 Notes Indenture”) with respect to the 2034 Notes with U.S. Bank Trust Company, National Association, as trustee (the “2034 Notes Trustee”).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 the 2034 Notes Indenture, the 2034 Notes bear interest at a rate of 4.250% per annum, with interest payable semiannually in arrears on February 15 and August 15 of each year, beginning on August 15, 2026. The 2034 Notes will mature on February 15, 2034, unless earlier redeemed or repurchased in accordance with their terms.</w:t>
      </w:r>
    </w:p>
    <w:p>
      <w:pPr>
        <w:spacing w:after="0" w:line="68"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2034 Notes are unconditionally guaranteed, on a senior unsecured basis, jointly and severally, by the Company’s existing and future subsidiaries that guarantee the Credit Agreement or are required to become guarantors under certain circumstances and subject to certain exceptions (the “Guarantors”).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2034 Notes and the guarantees are general senior unsecured obligations of the Company and the Guarantors. The 2034 Notes and guarantees will be:</w:t>
      </w:r>
    </w:p>
    <w:p>
      <w:pPr>
        <w:spacing w:after="0" w:line="52" w:lineRule="exact"/>
        <w:rPr>
          <w:sz w:val="20"/>
          <w:szCs w:val="20"/>
          <w:color w:val="auto"/>
        </w:rPr>
      </w:pPr>
    </w:p>
    <w:p>
      <w:pPr>
        <w:ind w:left="1020" w:right="280" w:hanging="515"/>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of the Company’s and the Guarantors’ existing and future unsubordinated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Credit Agreement);</w:t>
      </w:r>
    </w:p>
    <w:p>
      <w:pPr>
        <w:spacing w:after="0" w:line="52" w:lineRule="exact"/>
        <w:rPr>
          <w:rFonts w:ascii="Times New Roman" w:cs="Times New Roman" w:eastAsia="Times New Roman" w:hAnsi="Times New Roman"/>
          <w:sz w:val="18"/>
          <w:szCs w:val="18"/>
          <w:color w:val="auto"/>
        </w:rPr>
      </w:pPr>
    </w:p>
    <w:p>
      <w:pPr>
        <w:ind w:left="1020" w:right="420" w:hanging="515"/>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the Company’s and the Guarantors’ existing and future secured indebtedness (including the Credit Agreement)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the Company’s and the Guarantors’ future subordinated indebtedness;</w:t>
      </w:r>
    </w:p>
    <w:p>
      <w:pPr>
        <w:spacing w:after="0" w:line="117" w:lineRule="exact"/>
        <w:rPr>
          <w:rFonts w:ascii="Times New Roman" w:cs="Times New Roman" w:eastAsia="Times New Roman" w:hAnsi="Times New Roman"/>
          <w:sz w:val="18"/>
          <w:szCs w:val="18"/>
          <w:color w:val="auto"/>
        </w:rPr>
      </w:pPr>
    </w:p>
    <w:p>
      <w:pPr>
        <w:ind w:left="1020" w:right="120" w:hanging="515"/>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any existing and future indebtedness of the Company that is not guaranteed by the Guarantors (including the Convertible Notes); and</w:t>
      </w:r>
    </w:p>
    <w:p>
      <w:pPr>
        <w:spacing w:after="0" w:line="53" w:lineRule="exact"/>
        <w:rPr>
          <w:rFonts w:ascii="Times New Roman" w:cs="Times New Roman" w:eastAsia="Times New Roman" w:hAnsi="Times New Roman"/>
          <w:sz w:val="18"/>
          <w:szCs w:val="18"/>
          <w:color w:val="auto"/>
        </w:rPr>
      </w:pPr>
    </w:p>
    <w:p>
      <w:pPr>
        <w:ind w:left="1020" w:right="580" w:hanging="515"/>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any existing and future indebtedness and other liabilities of the Company’s and the Guarantors’ subsidiaries that are not and do not become Guarantors.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any time prior to February 15, 2029, the Company may redeem the 2034 Notes in whole or in part at a redemption price equal to 100% of their principal amount, plus a make-whole premium, plus accrued and unpaid interest, if any, and additional amounts, if any, to, but excluding, the redemption date.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any time and from time to time on or after February 15, 2029, the Company may redeem for cash all or any portion of the 2034 Notes at a redemption price equal to the percentage of principal amount set forth below, plus accrued and unpaid interest, if any, and additional amounts, if any, to, but excluding, the applicable redemption date, if redeemed during the twelve-month period beginning on February 15 of the year indicated below:</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6920" w:type="dxa"/>
            <w:vAlign w:val="bottom"/>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740" w:type="dxa"/>
            <w:vAlign w:val="bottom"/>
            <w:gridSpan w:val="2"/>
          </w:tcPr>
          <w:p>
            <w:pPr>
              <w:ind w:left="6920"/>
              <w:spacing w:after="0"/>
              <w:rPr>
                <w:sz w:val="20"/>
                <w:szCs w:val="20"/>
                <w:color w:val="auto"/>
              </w:rPr>
            </w:pPr>
            <w:r>
              <w:rPr>
                <w:rFonts w:ascii="Times New Roman" w:cs="Times New Roman" w:eastAsia="Times New Roman" w:hAnsi="Times New Roman"/>
                <w:sz w:val="18"/>
                <w:szCs w:val="18"/>
                <w:color w:val="auto"/>
              </w:rPr>
              <w:t>101.0625%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prior to February 15, 2029, the Company may redeem up to 40% of the original aggregate principal amount of the 2034 Notes using the net cash proceeds of certain equity offerings at a redemption price equal to 104.250%.</w:t>
      </w:r>
    </w:p>
    <w:p>
      <w:pPr>
        <w:spacing w:after="0" w:line="54"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In the event of certain developments affecting taxation, the Company may elect to redeem all, but not less than all, of the 2034 Notes at 100% of their principal amount, plus accrued and unpaid interest, if any, and additional amounts, if any, to, but excluding, the date fixed for redemption.</w:t>
      </w:r>
    </w:p>
    <w:p>
      <w:pPr>
        <w:spacing w:after="0" w:line="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2034 Notes Indenture), each holder of the 2034 Notes may require the Company to repurchase all or a portion of their 2034 Notes at a price equal to 101% of their principal amount plus accrued and unpaid interest, if any, and additional amounts, if any, to, but excluding, the repurchase date.</w:t>
      </w:r>
    </w:p>
    <w:p>
      <w:pPr>
        <w:spacing w:after="0" w:line="6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2034 Notes Indenture contains customary terms and covenants that limit the ability of the Company and its Restricted Subsidiaries (as defined in the 2034 Notes Indenture) to, among other things, (i) incur liens, (ii) provide guarantees and (iii) consolidate, merge or sell or otherwise dispose of substantially all their assets.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2034 Notes Indenture also provides for customary events of default. Upon certain events of default that are occurring and continuing, either the 2034 Notes Trustee or the holders of at least 30% in aggregate principal amount of the outstanding 2034 Notes may declare the principal of, and accrued and unpaid interest, if any, and additional amounts, if any, on, all the</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380"/>
        <w:spacing w:after="0" w:line="266" w:lineRule="auto"/>
        <w:rPr>
          <w:sz w:val="20"/>
          <w:szCs w:val="20"/>
          <w:color w:val="auto"/>
        </w:rPr>
      </w:pPr>
      <w:r>
        <w:rPr>
          <w:rFonts w:ascii="Times New Roman" w:cs="Times New Roman" w:eastAsia="Times New Roman" w:hAnsi="Times New Roman"/>
          <w:sz w:val="18"/>
          <w:szCs w:val="18"/>
          <w:color w:val="auto"/>
        </w:rPr>
        <w:t>2034 Notes to be due and payable. In the event of certain insolvency and bankruptcy related events of default specified in the 2034 Notes Indenture, the principal of, and accrued and unpaid interest, if any, and additional amounts, if any, on, all the 2034 Notes shall automatically become due and payable.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2026, the effective interest rate of the 2034 Notes was 4.48%.</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interest expense was as follows:</w:t>
      </w:r>
    </w:p>
    <w:p>
      <w:pPr>
        <w:spacing w:after="0" w:line="113"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 Facility:</w:t>
            </w:r>
          </w:p>
        </w:tc>
        <w:tc>
          <w:tcPr>
            <w:tcW w:w="1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4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as interest</w:t>
            </w:r>
          </w:p>
        </w:tc>
        <w:tc>
          <w:tcPr>
            <w:tcW w:w="11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1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 on Term Loan Facility</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9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4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as</w:t>
            </w:r>
          </w:p>
        </w:tc>
        <w:tc>
          <w:tcPr>
            <w:tcW w:w="11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 on Convertible Notes</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94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2034 Notes:</w:t>
            </w:r>
          </w:p>
        </w:tc>
        <w:tc>
          <w:tcPr>
            <w:tcW w:w="1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4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as interest</w:t>
            </w:r>
          </w:p>
        </w:tc>
        <w:tc>
          <w:tcPr>
            <w:tcW w:w="11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1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 on 2034 Notes</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940" w:type="dxa"/>
            <w:vAlign w:val="bottom"/>
            <w:tcBorders>
              <w:right w:val="single" w:sz="8" w:color="CFF0FC"/>
            </w:tcBorders>
            <w:gridSpan w:val="2"/>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 xml:space="preserve">Other interest expense (income), net </w:t>
            </w:r>
            <w:r>
              <w:rPr>
                <w:rFonts w:ascii="Times New Roman" w:cs="Times New Roman" w:eastAsia="Times New Roman" w:hAnsi="Times New Roman"/>
                <w:sz w:val="21"/>
                <w:szCs w:val="21"/>
                <w:color w:val="auto"/>
                <w:vertAlign w:val="superscript"/>
              </w:rPr>
              <w:t>(1)</w:t>
            </w:r>
          </w:p>
        </w:tc>
        <w:tc>
          <w:tcPr>
            <w:tcW w:w="1180" w:type="dxa"/>
            <w:vAlign w:val="bottom"/>
            <w:shd w:val="clear" w:color="auto" w:fill="CFF0FC"/>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6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45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118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4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-1902460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-1902460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-1233805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-1233805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-565150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-565150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-273685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-256540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-273685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-256540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ind w:left="760" w:hanging="10"/>
        <w:spacing w:after="0" w:line="429" w:lineRule="auto"/>
        <w:tabs>
          <w:tab w:leader="none" w:pos="1134"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Other interest expense (income), net primarily consists of interest expense (income) related to the Company’s interest rate swap agreements. </w:t>
      </w:r>
      <w:r>
        <w:rPr>
          <w:rFonts w:ascii="Times New Roman" w:cs="Times New Roman" w:eastAsia="Times New Roman" w:hAnsi="Times New Roman"/>
          <w:sz w:val="18"/>
          <w:szCs w:val="18"/>
          <w:u w:val="single" w:color="auto"/>
          <w:color w:val="auto"/>
        </w:rPr>
        <w:t>Lines of Credit and Borrowing Arrangements</w:t>
      </w:r>
    </w:p>
    <w:p>
      <w:pPr>
        <w:spacing w:after="0" w:line="1"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Certain of 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of up to an equivalent of $13 as of both March 31, 2026 and December 31, 2025. There were no borrowings outstanding under these arrangements at March 31, 2026 and December 31, 2025.</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Contractual maturities of the Company’s debt obligations as of March 31, 2026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Year</w:t>
            </w:r>
          </w:p>
        </w:tc>
        <w:tc>
          <w:tcPr>
            <w:tcW w:w="5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5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FF0FC"/>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20"/>
                <w:szCs w:val="20"/>
                <w:color w:val="auto"/>
              </w:rPr>
            </w:pPr>
          </w:p>
        </w:tc>
      </w:tr>
      <w:tr>
        <w:trPr>
          <w:trHeight w:val="589"/>
        </w:trPr>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600" w:type="dxa"/>
            <w:vAlign w:val="bottom"/>
          </w:tcPr>
          <w:p>
            <w:pPr>
              <w:jc w:val="right"/>
              <w:ind w:right="359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rFonts w:ascii="Times New Roman" w:cs="Times New Roman" w:eastAsia="Times New Roman" w:hAnsi="Times New Roman"/>
          <w:sz w:val="18"/>
          <w:szCs w:val="18"/>
          <w:b w:val="1"/>
          <w:bCs w:val="1"/>
          <w:color w:val="auto"/>
        </w:rPr>
      </w:pPr>
    </w:p>
    <w:p>
      <w:pPr>
        <w:ind w:left="7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for the estimated costs to fulfill customer warranty obligations upon the recognition of the related revenue. The Company’s warranty obligations are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 The Company engages in extensive product quality programs and processes, including actively monitoring and evaluating the quality of its component suppliers.</w:t>
      </w:r>
    </w:p>
    <w:p>
      <w:pPr>
        <w:spacing w:after="0" w:line="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warranty activities were as follows:</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26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3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30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product warranties</w:t>
            </w:r>
          </w:p>
        </w:tc>
        <w:tc>
          <w:tcPr>
            <w:tcW w:w="1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Charges to warranty liability</w:t>
            </w:r>
          </w:p>
        </w:tc>
        <w:tc>
          <w:tcPr>
            <w:tcW w:w="1300" w:type="dxa"/>
            <w:vAlign w:val="bottom"/>
            <w:shd w:val="clear" w:color="auto" w:fill="CFF0FC"/>
          </w:tcPr>
          <w:p>
            <w:pPr>
              <w:spacing w:after="0"/>
              <w:rPr>
                <w:sz w:val="18"/>
                <w:szCs w:val="18"/>
                <w:color w:val="auto"/>
              </w:rPr>
            </w:pPr>
          </w:p>
        </w:tc>
        <w:tc>
          <w:tcPr>
            <w:tcW w:w="6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tcBorders>
              <w:right w:val="single" w:sz="8" w:color="CFF0FC"/>
            </w:tcBorders>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tcPr>
          <w:p>
            <w:pPr>
              <w:jc w:val="right"/>
              <w:ind w:right="117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760" w:right="100"/>
        <w:spacing w:after="0" w:line="261" w:lineRule="auto"/>
        <w:rPr>
          <w:sz w:val="20"/>
          <w:szCs w:val="20"/>
          <w:color w:val="auto"/>
        </w:rPr>
      </w:pPr>
      <w:r>
        <w:rPr>
          <w:rFonts w:ascii="Times New Roman" w:cs="Times New Roman" w:eastAsia="Times New Roman" w:hAnsi="Times New Roman"/>
          <w:sz w:val="18"/>
          <w:szCs w:val="18"/>
          <w:color w:val="auto"/>
        </w:rPr>
        <w:t>Short-term product warranties of $20 and long-term product warranties of $5, each as of March 31, 2026, are included within other current liabilities and other non-current liabilities, respectively, within the accompanying condensed consolidated balance sheet. Short-term product warranties of $15 and long-term product warranties of $8, each as of March 31, 2025, are included within other current liabilities and other non-current liabilities, respectively, within the respective condensed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3"/>
              </w:rPr>
              <w:t>(10)</w:t>
            </w: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March 31, 2026</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22"/>
                <w:szCs w:val="22"/>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other employee-related obligations</w:t>
            </w:r>
          </w:p>
        </w:tc>
        <w:tc>
          <w:tcPr>
            <w:tcW w:w="1500" w:type="dxa"/>
            <w:vAlign w:val="bottom"/>
            <w:shd w:val="clear" w:color="auto" w:fill="CFF0FC"/>
          </w:tcPr>
          <w:p>
            <w:pPr>
              <w:jc w:val="right"/>
              <w:ind w:right="13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1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500" w:type="dxa"/>
            <w:vAlign w:val="bottom"/>
          </w:tcPr>
          <w:p>
            <w:pPr>
              <w:jc w:val="right"/>
              <w:ind w:right="134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7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provision for income taxes for the three months ended March 31, 2026 and March 31, 2025 were $18 and $7, respectively. The Company’s effective tax rates for the three months ended March 31, 2026 and March 31, 2025 were 17.7% and 12.3%, respectively. The Company’s effective tax rates for the three months ended March 31, 2026 and March 31, 2025 were lower than the U.S. statutory tax rate primarily due to the U.S. deduction for Foreign-Derived Deduction Eligible Income and research and development tax credits, partially offset by foreign withholding taxes and a waiver of deductions related to U.S. base erosion payments.</w:t>
      </w:r>
    </w:p>
    <w:p>
      <w:pPr>
        <w:spacing w:after="0" w:line="75" w:lineRule="exact"/>
        <w:rPr>
          <w:rFonts w:ascii="Times New Roman" w:cs="Times New Roman" w:eastAsia="Times New Roman" w:hAnsi="Times New Roman"/>
          <w:sz w:val="18"/>
          <w:szCs w:val="18"/>
          <w:b w:val="1"/>
          <w:bCs w:val="1"/>
          <w:color w:val="auto"/>
        </w:rPr>
      </w:pPr>
    </w:p>
    <w:p>
      <w:pPr>
        <w:ind w:left="7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4, 2025, the One Big Beautiful Bill Act (the “OBBBA”) was enacted into law. The OBBBA includes changes to the U.S. tax code,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2025 and others implemented through 2027. These changes to the U.S. tax code have not had a material impact on the Company’s results since the enactment of OBBBA and the Company does not anticipate these changes to the U.S. tax code will have a material impact on its results in future periods.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net income per share:</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08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2"/>
                <w:szCs w:val="12"/>
                <w:color w:val="auto"/>
              </w:rPr>
            </w:pP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0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92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used in net income per share - basic</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potential shares</w:t>
            </w: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awards</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Convertible Notes</w:t>
            </w: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Shares used in net income per share - diluted</w:t>
            </w:r>
          </w:p>
        </w:tc>
        <w:tc>
          <w:tcPr>
            <w:tcW w:w="10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top w:val="single" w:sz="8" w:color="CFF0FC"/>
            </w:tcBorders>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0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tcPr>
          <w:p>
            <w:pPr>
              <w:jc w:val="right"/>
              <w:ind w:right="92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shd w:val="clear" w:color="auto" w:fill="CFF0FC"/>
          </w:tcPr>
          <w:p>
            <w:pPr>
              <w:jc w:val="right"/>
              <w:ind w:right="92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8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-582295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-582295</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760" w:right="4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of common stock outstanding during the period.</w:t>
      </w:r>
    </w:p>
    <w:p>
      <w:pPr>
        <w:spacing w:after="0" w:line="54" w:lineRule="exact"/>
        <w:rPr>
          <w:sz w:val="20"/>
          <w:szCs w:val="20"/>
          <w:color w:val="auto"/>
        </w:rPr>
      </w:pPr>
    </w:p>
    <w:p>
      <w:pPr>
        <w:ind w:left="760" w:right="260"/>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by dividing net income by the weighted-average number of shares of common stock and potentially dilutive shares of common stock outstanding during the period.</w:t>
      </w:r>
    </w:p>
    <w:p>
      <w:pPr>
        <w:spacing w:after="0" w:line="54" w:lineRule="exact"/>
        <w:rPr>
          <w:sz w:val="20"/>
          <w:szCs w:val="20"/>
          <w:color w:val="auto"/>
        </w:rPr>
      </w:pPr>
    </w:p>
    <w:p>
      <w:pPr>
        <w:ind w:left="760" w:right="200"/>
        <w:spacing w:after="0" w:line="261" w:lineRule="auto"/>
        <w:rPr>
          <w:sz w:val="20"/>
          <w:szCs w:val="20"/>
          <w:color w:val="auto"/>
        </w:rPr>
      </w:pPr>
      <w:r>
        <w:rPr>
          <w:rFonts w:ascii="Times New Roman" w:cs="Times New Roman" w:eastAsia="Times New Roman" w:hAnsi="Times New Roman"/>
          <w:sz w:val="18"/>
          <w:szCs w:val="18"/>
          <w:color w:val="auto"/>
        </w:rPr>
        <w:t>The dilutive effect of equity awards is calculated based on the average stock price for the relevant period, using the treasury stock method. In periods in which a net loss is recognized, the impact of equity awards is not included as they would be antidilutive. For the three months ended March 31, 2026 and March 31, 2025, the Company had an immaterial quantity of equity awards that were antidilutive and excluded from the computation of diluted weighted-average number of shares.</w:t>
      </w:r>
    </w:p>
    <w:p>
      <w:pPr>
        <w:spacing w:after="0" w:line="72" w:lineRule="exact"/>
        <w:rPr>
          <w:sz w:val="20"/>
          <w:szCs w:val="20"/>
          <w:color w:val="auto"/>
        </w:rPr>
      </w:pPr>
    </w:p>
    <w:p>
      <w:pPr>
        <w:ind w:left="760" w:right="60"/>
        <w:spacing w:after="0" w:line="255" w:lineRule="auto"/>
        <w:rPr>
          <w:sz w:val="20"/>
          <w:szCs w:val="20"/>
          <w:color w:val="auto"/>
        </w:rPr>
      </w:pPr>
      <w:r>
        <w:rPr>
          <w:rFonts w:ascii="Times New Roman" w:cs="Times New Roman" w:eastAsia="Times New Roman" w:hAnsi="Times New Roman"/>
          <w:sz w:val="18"/>
          <w:szCs w:val="18"/>
          <w:color w:val="auto"/>
        </w:rPr>
        <w:t>The dilutive effect of the Convertible Notes is calculated under the if-converted method. Interest expense, net of tax, is not added back to net income to calculate diluted net income per share as the principal amount of the Convertible Notes is required to be paid in cash. For the three months ended March 31, 2026, shares of the Company’s common stock that would be issued upon conversion of the Convertible Notes are included in the weighted-average number of shares of common stock used to calculate diluted net income per share. For the three months ended March 31, 2025, shares of common stock that would have been issued if the Convertible Notes had been converted are not included in the calculation of diluted net income per share as the Company’s average share price during these periods was below the initial conversion price and inclusion would be antidilutive.</w:t>
      </w:r>
    </w:p>
    <w:p>
      <w:pPr>
        <w:spacing w:after="0" w:line="81" w:lineRule="exact"/>
        <w:rPr>
          <w:sz w:val="20"/>
          <w:szCs w:val="20"/>
          <w:color w:val="auto"/>
        </w:rPr>
      </w:pPr>
    </w:p>
    <w:p>
      <w:pPr>
        <w:ind w:left="760" w:right="80"/>
        <w:spacing w:after="0" w:line="261" w:lineRule="auto"/>
        <w:rPr>
          <w:sz w:val="20"/>
          <w:szCs w:val="20"/>
          <w:color w:val="auto"/>
        </w:rPr>
      </w:pPr>
      <w:r>
        <w:rPr>
          <w:rFonts w:ascii="Times New Roman" w:cs="Times New Roman" w:eastAsia="Times New Roman" w:hAnsi="Times New Roman"/>
          <w:sz w:val="18"/>
          <w:szCs w:val="18"/>
          <w:color w:val="auto"/>
        </w:rPr>
        <w:t>The Convertible Debt Capped Calls, as described in Note 8, are excluded from the calculation of diluted net income per share as they would be antidilutive. However, upon conversion of the Convertible Notes, the Convertible Debt Capped Calls would generally offset any dilution from the Convertible Notes from the conversion price up to a cap equal to $237.40 per share as of March 31, 2026. See Note 8 for further information regarding the Convertible Notes and Convertible Debt Capped Calls.</w:t>
      </w:r>
    </w:p>
    <w:p>
      <w:pPr>
        <w:spacing w:after="0" w:line="176" w:lineRule="exact"/>
        <w:rPr>
          <w:sz w:val="20"/>
          <w:szCs w:val="20"/>
          <w:color w:val="auto"/>
        </w:rPr>
      </w:pPr>
    </w:p>
    <w:p>
      <w:pPr>
        <w:ind w:left="760" w:right="8380" w:hanging="752"/>
        <w:spacing w:after="0" w:line="400" w:lineRule="auto"/>
        <w:tabs>
          <w:tab w:leader="none" w:pos="7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u w:val="single" w:color="auto"/>
          <w:color w:val="auto"/>
        </w:rPr>
        <w:t>Equity Incentive Plans</w:t>
      </w:r>
    </w:p>
    <w:p>
      <w:pPr>
        <w:ind w:left="760" w:right="1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Stock-based awards include (i) time-based restricted stock units (“RSUs”), (ii) performance-based RSUs based on the achievement of adjusted EBITDA targets over a one-year performance period, (iii) performance-based RSUs based on the Company’s total stockholder return relative to a group of peers over a three-year performance period and (iv) employee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color w:val="auto"/>
        </w:rPr>
        <w:t>purchase plan rights. The Company grants RSUs to employees and directors under the 2022 Stock Incentive Plan and issues shares of common stock under the 2014 Employee Stock Purchase Plan pursuant to its employee stock purchase program.</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activity for the RSUs:</w:t>
      </w:r>
    </w:p>
    <w:p>
      <w:pPr>
        <w:spacing w:after="0" w:line="1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Three Months Ended March 31, 2026</w:t>
      </w:r>
    </w:p>
    <w:tbl>
      <w:tblPr>
        <w:tblLayout w:type="fixed"/>
        <w:tblInd w:w="8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Quantity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forfeited</w:t>
            </w:r>
          </w:p>
        </w:tc>
        <w:tc>
          <w:tcPr>
            <w:tcW w:w="1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08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Quantity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forfeited</w:t>
            </w:r>
          </w:p>
        </w:tc>
        <w:tc>
          <w:tcPr>
            <w:tcW w:w="1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-1447800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Stock-Based Compensation Expense</w:t>
      </w:r>
    </w:p>
    <w:p>
      <w:pPr>
        <w:spacing w:after="0" w:line="117" w:lineRule="exact"/>
        <w:rPr>
          <w:sz w:val="20"/>
          <w:szCs w:val="20"/>
          <w:color w:val="auto"/>
        </w:rPr>
      </w:pPr>
    </w:p>
    <w:p>
      <w:pPr>
        <w:ind w:left="760" w:right="600"/>
        <w:spacing w:after="0" w:line="282" w:lineRule="auto"/>
        <w:rPr>
          <w:sz w:val="20"/>
          <w:szCs w:val="20"/>
          <w:color w:val="auto"/>
        </w:rPr>
      </w:pPr>
      <w:r>
        <w:rPr>
          <w:rFonts w:ascii="Times New Roman" w:cs="Times New Roman" w:eastAsia="Times New Roman" w:hAnsi="Times New Roman"/>
          <w:sz w:val="18"/>
          <w:szCs w:val="18"/>
          <w:color w:val="auto"/>
        </w:rPr>
        <w:t>The pre-tax effect of stock-based compensation expense included in the Company’s condensed consolidated statements of operations and comprehensive income (loss) was as follows:</w:t>
      </w:r>
    </w:p>
    <w:p>
      <w:pPr>
        <w:spacing w:after="0" w:line="49"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shd w:val="clear" w:color="auto" w:fill="CFF0FC"/>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220" w:type="dxa"/>
            <w:vAlign w:val="bottom"/>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760" w:right="8520" w:hanging="752"/>
        <w:spacing w:after="0" w:line="503" w:lineRule="auto"/>
        <w:tabs>
          <w:tab w:leader="none" w:pos="7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u w:val="single" w:color="auto"/>
          <w:color w:val="auto"/>
        </w:rPr>
        <w:t>Share Repurchase Program</w:t>
      </w:r>
    </w:p>
    <w:p>
      <w:pPr>
        <w:ind w:left="7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25, 2011, the Company’s Board of Directors approved a share repurchase program for the repurchase of up to an aggregate of $200 of its outstanding common stock from time to time in open market purchases, privately negotiated transactions or through other appropriate means. The timing and quantity of any shares repurchased will depend upon a variety of factors, including business conditions, stock market conditions and business development activities, including, but not limited to, merger and acquisition opportunities. These repurchases may be commenced, suspended or discontinued at any time without prior notice. Any repurchased shares are held by the Company as authorized but unissued shares.</w:t>
      </w:r>
    </w:p>
    <w:p>
      <w:pPr>
        <w:spacing w:after="0" w:line="75" w:lineRule="exact"/>
        <w:rPr>
          <w:rFonts w:ascii="Times New Roman" w:cs="Times New Roman" w:eastAsia="Times New Roman" w:hAnsi="Times New Roman"/>
          <w:sz w:val="18"/>
          <w:szCs w:val="18"/>
          <w:b w:val="1"/>
          <w:bCs w:val="1"/>
          <w:color w:val="auto"/>
        </w:rPr>
      </w:pPr>
    </w:p>
    <w:p>
      <w:pPr>
        <w:ind w:left="7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2026, there were no repurchases of common stock. During the three months ended March 31, 2025, the Company repurchased approximately 0.5 shares of its common stock for total consideration of $45. The Company has repurchased approximately 3.1 shares of common stock for approximately $172 pursuant to the program since its adoption.</w:t>
      </w:r>
    </w:p>
    <w:p>
      <w:pPr>
        <w:spacing w:after="0" w:line="1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Dividends</w:t>
      </w:r>
    </w:p>
    <w:p>
      <w:pPr>
        <w:spacing w:after="0" w:line="225" w:lineRule="exact"/>
        <w:rPr>
          <w:rFonts w:ascii="Times New Roman" w:cs="Times New Roman" w:eastAsia="Times New Roman" w:hAnsi="Times New Roman"/>
          <w:sz w:val="18"/>
          <w:szCs w:val="18"/>
          <w:b w:val="1"/>
          <w:bCs w:val="1"/>
          <w:color w:val="auto"/>
        </w:rPr>
      </w:pPr>
    </w:p>
    <w:p>
      <w:pPr>
        <w:ind w:left="7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the Company’s common stock are entitled to receive dividends when and if they are declared by the Company’s Board of Directors. During the first quarter of 2026, the Company’s Board of Directors declared a cash dividend of $0.25 per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200"/>
        <w:spacing w:after="0" w:line="282" w:lineRule="auto"/>
        <w:rPr>
          <w:sz w:val="20"/>
          <w:szCs w:val="20"/>
          <w:color w:val="auto"/>
        </w:rPr>
      </w:pPr>
      <w:r>
        <w:rPr>
          <w:rFonts w:ascii="Times New Roman" w:cs="Times New Roman" w:eastAsia="Times New Roman" w:hAnsi="Times New Roman"/>
          <w:sz w:val="18"/>
          <w:szCs w:val="18"/>
          <w:color w:val="auto"/>
        </w:rPr>
        <w:t>share which totaled $17. During the first quarter of 2025, the Company’s Board of Directors declared a cash dividend of $0.22 per share which totaled $15.</w:t>
      </w:r>
    </w:p>
    <w:p>
      <w:pPr>
        <w:spacing w:after="0" w:line="54" w:lineRule="exact"/>
        <w:rPr>
          <w:sz w:val="20"/>
          <w:szCs w:val="20"/>
          <w:color w:val="auto"/>
        </w:rPr>
      </w:pPr>
    </w:p>
    <w:p>
      <w:pPr>
        <w:ind w:left="760" w:right="420"/>
        <w:spacing w:after="0" w:line="282" w:lineRule="auto"/>
        <w:rPr>
          <w:sz w:val="20"/>
          <w:szCs w:val="20"/>
          <w:color w:val="auto"/>
        </w:rPr>
      </w:pPr>
      <w:r>
        <w:rPr>
          <w:rFonts w:ascii="Times New Roman" w:cs="Times New Roman" w:eastAsia="Times New Roman" w:hAnsi="Times New Roman"/>
          <w:sz w:val="18"/>
          <w:szCs w:val="18"/>
          <w:color w:val="auto"/>
        </w:rPr>
        <w:t>Future dividend declarations, if any, as well as the record and payment dates for such dividends, are subject to the final determination of the Company’s Board of Directors.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 Income</w:t>
      </w:r>
    </w:p>
    <w:p>
      <w:pPr>
        <w:spacing w:after="0" w:line="225" w:lineRule="exact"/>
        <w:rPr>
          <w:sz w:val="20"/>
          <w:szCs w:val="20"/>
          <w:color w:val="auto"/>
        </w:rPr>
      </w:pPr>
    </w:p>
    <w:p>
      <w:pPr>
        <w:ind w:left="760" w:right="46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income (“AOCI”) by component as of March 31, 2026 and March 31, 2025, net of aggregate tax of $(2) and $2 for each period, respectively, were as follows:</w:t>
      </w:r>
    </w:p>
    <w:p>
      <w:pPr>
        <w:spacing w:after="0" w:line="25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Changes in value</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Foreign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of financial</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Change in net</w:t>
            </w:r>
          </w:p>
        </w:tc>
        <w:tc>
          <w:tcPr>
            <w:tcW w:w="1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Unrecognized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designated as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 gain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color w:val="auto"/>
              </w:rPr>
              <w:t>hedge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22"/>
        </w:trPr>
        <w:tc>
          <w:tcPr>
            <w:tcW w:w="47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Changes in value</w:t>
            </w: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vMerge w:val="restart"/>
          </w:tcPr>
          <w:p>
            <w:pPr>
              <w:jc w:val="center"/>
              <w:ind w:right="63"/>
              <w:spacing w:after="0"/>
              <w:rPr>
                <w:sz w:val="20"/>
                <w:szCs w:val="20"/>
                <w:color w:val="auto"/>
              </w:rPr>
            </w:pPr>
            <w:r>
              <w:rPr>
                <w:rFonts w:ascii="Times New Roman" w:cs="Times New Roman" w:eastAsia="Times New Roman" w:hAnsi="Times New Roman"/>
                <w:sz w:val="14"/>
                <w:szCs w:val="14"/>
                <w:color w:val="auto"/>
              </w:rPr>
              <w:t>Foreign</w:t>
            </w:r>
          </w:p>
        </w:tc>
        <w:tc>
          <w:tcPr>
            <w:tcW w:w="100" w:type="dxa"/>
            <w:vAlign w:val="bottom"/>
            <w:tcBorders>
              <w:top w:val="single" w:sz="8" w:color="CFF0FC"/>
            </w:tcBorders>
            <w:vMerge w:val="restart"/>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of financial</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Change in net</w:t>
            </w:r>
          </w:p>
        </w:tc>
        <w:tc>
          <w:tcPr>
            <w:tcW w:w="1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Unrecognized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designated as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 gain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color w:val="auto"/>
              </w:rPr>
              <w:t>hedge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3"/>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-1619250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-1619250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-1619250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-1619250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-1345565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-1327785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-1345565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-1327785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-1345565</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-1327785</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-1345565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-1327785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-299720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-299720</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-299720</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-299720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760" w:right="5720" w:hanging="752"/>
        <w:spacing w:after="0" w:line="503" w:lineRule="auto"/>
        <w:tabs>
          <w:tab w:leader="none" w:pos="7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Segment, Geographic Area and Product Information </w:t>
      </w:r>
      <w:r>
        <w:rPr>
          <w:rFonts w:ascii="Times New Roman" w:cs="Times New Roman" w:eastAsia="Times New Roman" w:hAnsi="Times New Roman"/>
          <w:sz w:val="18"/>
          <w:szCs w:val="18"/>
          <w:u w:val="single" w:color="auto"/>
          <w:color w:val="auto"/>
        </w:rPr>
        <w:t>Reportable Segments and Products</w:t>
      </w:r>
    </w:p>
    <w:p>
      <w:pPr>
        <w:ind w:left="7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Company’s Chief Operating Decision Maker (the “CODM”), which is the Company’s Chief Executive Officer, utilizes financial information to make decisions about allocating resources and assessing performance for the entire Company, which is used in the decision-making process to assess performance. The Company has a diverse base of customers across its three end markets, semiconductor, electronics and packaging, and specialty industrial. Segment gross margin is the primary measure used by the CODM to assess segment performance and allocate resources. Gross margin, among other measures, is utilized when making decisions about capital and personnel allocations across segments.</w:t>
      </w:r>
    </w:p>
    <w:p>
      <w:pPr>
        <w:spacing w:after="0" w:line="5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VSD, PSD and MSD as described below.</w:t>
      </w:r>
    </w:p>
    <w:p>
      <w:pPr>
        <w:spacing w:after="0" w:line="117" w:lineRule="exact"/>
        <w:rPr>
          <w:rFonts w:ascii="Times New Roman" w:cs="Times New Roman" w:eastAsia="Times New Roman" w:hAnsi="Times New Roman"/>
          <w:sz w:val="18"/>
          <w:szCs w:val="18"/>
          <w:b w:val="1"/>
          <w:bCs w:val="1"/>
          <w:color w:val="auto"/>
        </w:rPr>
      </w:pPr>
    </w:p>
    <w:p>
      <w:pPr>
        <w:ind w:left="7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VSD delivers foundational technology solutions for semiconductor manufacturing, electronics and packaging, and specialty industrial applications. VSD products are derived from the Company’s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280"/>
        <w:spacing w:after="0" w:line="266" w:lineRule="auto"/>
        <w:rPr>
          <w:sz w:val="20"/>
          <w:szCs w:val="20"/>
          <w:color w:val="auto"/>
        </w:rPr>
      </w:pPr>
      <w:r>
        <w:rPr>
          <w:rFonts w:ascii="Times New Roman" w:cs="Times New Roman" w:eastAsia="Times New Roman" w:hAnsi="Times New Roman"/>
          <w:sz w:val="18"/>
          <w:szCs w:val="18"/>
          <w:color w:val="auto"/>
        </w:rPr>
        <w:t>PSD provides a broad range of instruments, components and subsystems to leading edge semiconductor manufacturing, electronics and packaging and specialty industrial applications. PSD products are derived from the Company’s core competencies in lasers, photonics, optics, precision motion control and vibration control.</w:t>
      </w:r>
    </w:p>
    <w:p>
      <w:pPr>
        <w:spacing w:after="0" w:line="68" w:lineRule="exact"/>
        <w:rPr>
          <w:sz w:val="20"/>
          <w:szCs w:val="20"/>
          <w:color w:val="auto"/>
        </w:rPr>
      </w:pPr>
    </w:p>
    <w:p>
      <w:pPr>
        <w:ind w:left="760" w:right="180"/>
        <w:spacing w:after="0" w:line="266" w:lineRule="auto"/>
        <w:rPr>
          <w:sz w:val="20"/>
          <w:szCs w:val="20"/>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the electronics and packaging and specialty industrial markets.</w:t>
      </w:r>
    </w:p>
    <w:p>
      <w:pPr>
        <w:spacing w:after="0" w:line="68" w:lineRule="exact"/>
        <w:rPr>
          <w:sz w:val="20"/>
          <w:szCs w:val="20"/>
          <w:color w:val="auto"/>
        </w:rPr>
      </w:pPr>
    </w:p>
    <w:p>
      <w:pPr>
        <w:ind w:left="760" w:right="260"/>
        <w:spacing w:after="0" w:line="258" w:lineRule="auto"/>
        <w:rPr>
          <w:sz w:val="20"/>
          <w:szCs w:val="20"/>
          <w:color w:val="auto"/>
        </w:rPr>
      </w:pPr>
      <w:r>
        <w:rPr>
          <w:rFonts w:ascii="Times New Roman" w:cs="Times New Roman" w:eastAsia="Times New Roman" w:hAnsi="Times New Roman"/>
          <w:sz w:val="18"/>
          <w:szCs w:val="18"/>
          <w:color w:val="auto"/>
        </w:rPr>
        <w:t>The Company derives its segment results directly from the manner in which results are reported in its management reporting system. The Company groups its product offerings by its reportable segments, VSD, PSD, and MSD. For each reportable segment, the Company also provides services relating to the maintenance and repair of its products, sales of spare parts, installation and training. Unallocated corporate expenses represent those costs not specifically related to the operations of each segment and are managed separately at the corporate level and primarily relate to labor costs of global functions such as supply chain, quality control and operations.</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set forth the details of gross profit by reportable segment and the reconciliation to income before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VSD</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color w:val="auto"/>
              </w:rPr>
              <w:t>PSD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MSD</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r>
      <w:tr>
        <w:trPr>
          <w:trHeight w:val="209"/>
        </w:trPr>
        <w:tc>
          <w:tcPr>
            <w:tcW w:w="8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r>
      <w:tr>
        <w:trPr>
          <w:trHeight w:val="250"/>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by segment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58"/>
        </w:trPr>
        <w:tc>
          <w:tcPr>
            <w:tcW w:w="800" w:type="dxa"/>
            <w:vAlign w:val="bottom"/>
          </w:tcPr>
          <w:p>
            <w:pPr>
              <w:spacing w:after="0"/>
              <w:rPr>
                <w:sz w:val="13"/>
                <w:szCs w:val="13"/>
                <w:color w:val="auto"/>
              </w:rPr>
            </w:pPr>
          </w:p>
        </w:tc>
        <w:tc>
          <w:tcPr>
            <w:tcW w:w="4940" w:type="dxa"/>
            <w:vAlign w:val="bottom"/>
          </w:tcPr>
          <w:p>
            <w:pPr>
              <w:spacing w:after="0" w:line="158" w:lineRule="exact"/>
              <w:rPr>
                <w:sz w:val="20"/>
                <w:szCs w:val="20"/>
                <w:color w:val="auto"/>
              </w:rPr>
            </w:pPr>
            <w:r>
              <w:rPr>
                <w:rFonts w:ascii="Times New Roman" w:cs="Times New Roman" w:eastAsia="Times New Roman" w:hAnsi="Times New Roman"/>
                <w:sz w:val="18"/>
                <w:szCs w:val="18"/>
                <w:color w:val="auto"/>
              </w:rPr>
              <w:t>Total cost of revenues (exclusive of amortization shown separately</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1"/>
        </w:trPr>
        <w:tc>
          <w:tcPr>
            <w:tcW w:w="5740" w:type="dxa"/>
            <w:vAlign w:val="bottom"/>
            <w:gridSpan w:val="2"/>
          </w:tcPr>
          <w:p>
            <w:pPr>
              <w:ind w:left="800"/>
              <w:spacing w:after="0" w:line="241" w:lineRule="exact"/>
              <w:rPr>
                <w:sz w:val="20"/>
                <w:szCs w:val="20"/>
                <w:color w:val="auto"/>
              </w:rPr>
            </w:pPr>
            <w:r>
              <w:rPr>
                <w:rFonts w:ascii="Times New Roman" w:cs="Times New Roman" w:eastAsia="Times New Roman" w:hAnsi="Times New Roman"/>
                <w:sz w:val="18"/>
                <w:szCs w:val="18"/>
                <w:color w:val="auto"/>
              </w:rPr>
              <w:t>below)</w:t>
            </w:r>
            <w:r>
              <w:rPr>
                <w:rFonts w:ascii="Times New Roman" w:cs="Times New Roman" w:eastAsia="Times New Roman" w:hAnsi="Times New Roman"/>
                <w:sz w:val="24"/>
                <w:szCs w:val="24"/>
                <w:color w:val="auto"/>
                <w:vertAlign w:val="superscript"/>
              </w:rPr>
              <w:t>(1)</w:t>
            </w: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Pr>
          <w:p>
            <w:pPr>
              <w:spacing w:after="0"/>
              <w:rPr>
                <w:sz w:val="20"/>
                <w:szCs w:val="20"/>
                <w:color w:val="auto"/>
              </w:rPr>
            </w:pPr>
          </w:p>
        </w:tc>
      </w:tr>
      <w:tr>
        <w:trPr>
          <w:trHeight w:val="250"/>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4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Segment gross profit percentage</w:t>
            </w:r>
          </w:p>
        </w:tc>
        <w:tc>
          <w:tcPr>
            <w:tcW w:w="7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7"/>
                <w:szCs w:val="17"/>
                <w:color w:val="auto"/>
              </w:rPr>
            </w:pP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47.1%</w:t>
            </w: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settlement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Fees and expenses related to debt activities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7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696"/>
        </w:trPr>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-3651250</wp:posOffset>
            </wp:positionV>
            <wp:extent cx="111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-3634105</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-3651250</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-3634105</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-3651250</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-3634105</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-3651250</wp:posOffset>
            </wp:positionV>
            <wp:extent cx="1117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-3634105</wp:posOffset>
            </wp:positionV>
            <wp:extent cx="1117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-3213735</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-3196590</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-3213735</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-3196590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-3213735</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-3196590</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-3213735</wp:posOffset>
            </wp:positionV>
            <wp:extent cx="1117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-3196590</wp:posOffset>
            </wp:positionV>
            <wp:extent cx="1117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-1816735</wp:posOffset>
            </wp:positionV>
            <wp:extent cx="1117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-976630</wp:posOffset>
            </wp:positionV>
            <wp:extent cx="1117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-959485</wp:posOffset>
            </wp:positionV>
            <wp:extent cx="1117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VSD</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color w:val="auto"/>
              </w:rPr>
              <w:t>PSD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MSD</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r>
      <w:tr>
        <w:trPr>
          <w:trHeight w:val="209"/>
        </w:trPr>
        <w:tc>
          <w:tcPr>
            <w:tcW w:w="40" w:type="dxa"/>
            <w:vAlign w:val="bottom"/>
          </w:tcPr>
          <w:p>
            <w:pPr>
              <w:spacing w:after="0"/>
              <w:rPr>
                <w:sz w:val="18"/>
                <w:szCs w:val="18"/>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by segment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58"/>
        </w:trPr>
        <w:tc>
          <w:tcPr>
            <w:tcW w:w="4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Times New Roman" w:cs="Times New Roman" w:eastAsia="Times New Roman" w:hAnsi="Times New Roman"/>
                <w:sz w:val="18"/>
                <w:szCs w:val="18"/>
                <w:color w:val="auto"/>
              </w:rPr>
              <w:t>Total cost of revenues (exclusive of amortization shown separately</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1"/>
        </w:trPr>
        <w:tc>
          <w:tcPr>
            <w:tcW w:w="4980" w:type="dxa"/>
            <w:vAlign w:val="bottom"/>
            <w:gridSpan w:val="3"/>
          </w:tcPr>
          <w:p>
            <w:pPr>
              <w:ind w:left="40"/>
              <w:spacing w:after="0" w:line="241" w:lineRule="exact"/>
              <w:rPr>
                <w:sz w:val="20"/>
                <w:szCs w:val="20"/>
                <w:color w:val="auto"/>
              </w:rPr>
            </w:pPr>
            <w:r>
              <w:rPr>
                <w:rFonts w:ascii="Times New Roman" w:cs="Times New Roman" w:eastAsia="Times New Roman" w:hAnsi="Times New Roman"/>
                <w:sz w:val="18"/>
                <w:szCs w:val="18"/>
                <w:color w:val="auto"/>
              </w:rPr>
              <w:t>below)</w:t>
            </w:r>
            <w:r>
              <w:rPr>
                <w:rFonts w:ascii="Times New Roman" w:cs="Times New Roman" w:eastAsia="Times New Roman" w:hAnsi="Times New Roman"/>
                <w:sz w:val="24"/>
                <w:szCs w:val="24"/>
                <w:color w:val="auto"/>
                <w:vertAlign w:val="superscript"/>
              </w:rPr>
              <w:t>(1)</w:t>
            </w: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40" w:type="dxa"/>
            <w:vAlign w:val="bottom"/>
          </w:tcPr>
          <w:p>
            <w:pPr>
              <w:spacing w:after="0"/>
              <w:rPr>
                <w:sz w:val="17"/>
                <w:szCs w:val="17"/>
                <w:color w:val="auto"/>
              </w:rPr>
            </w:pPr>
          </w:p>
        </w:tc>
        <w:tc>
          <w:tcPr>
            <w:tcW w:w="4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 gross profit percentage</w:t>
            </w:r>
          </w:p>
        </w:tc>
        <w:tc>
          <w:tcPr>
            <w:tcW w:w="7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7"/>
                <w:szCs w:val="17"/>
                <w:color w:val="auto"/>
              </w:rPr>
            </w:pP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47.8%</w:t>
            </w:r>
          </w:p>
        </w:tc>
      </w:tr>
      <w:tr>
        <w:trPr>
          <w:trHeight w:val="216"/>
        </w:trPr>
        <w:tc>
          <w:tcPr>
            <w:tcW w:w="40" w:type="dxa"/>
            <w:vAlign w:val="bottom"/>
          </w:tcPr>
          <w:p>
            <w:pPr>
              <w:spacing w:after="0"/>
              <w:rPr>
                <w:sz w:val="18"/>
                <w:szCs w:val="18"/>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Fees and expenses related to debt activities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0" w:type="dxa"/>
            <w:vAlign w:val="bottom"/>
          </w:tcPr>
          <w:p>
            <w:pPr>
              <w:spacing w:after="0"/>
              <w:rPr>
                <w:sz w:val="18"/>
                <w:szCs w:val="18"/>
                <w:color w:val="auto"/>
              </w:rPr>
            </w:pPr>
          </w:p>
        </w:tc>
        <w:tc>
          <w:tcPr>
            <w:tcW w:w="4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0" w:type="dxa"/>
            <w:vAlign w:val="bottom"/>
          </w:tcPr>
          <w:p>
            <w:pPr>
              <w:spacing w:after="0"/>
              <w:rPr>
                <w:sz w:val="18"/>
                <w:szCs w:val="18"/>
                <w:color w:val="auto"/>
              </w:rPr>
            </w:pPr>
          </w:p>
        </w:tc>
        <w:tc>
          <w:tcPr>
            <w:tcW w:w="494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FF0FC"/>
            </w:tcBorders>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-2656840</wp:posOffset>
            </wp:positionV>
            <wp:extent cx="111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-2639695</wp:posOffset>
            </wp:positionV>
            <wp:extent cx="1111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-2656840</wp:posOffset>
            </wp:positionV>
            <wp:extent cx="111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-2639695</wp:posOffset>
            </wp:positionV>
            <wp:extent cx="111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-2656840</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-2639695</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-2656840</wp:posOffset>
            </wp:positionV>
            <wp:extent cx="1117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-2639695</wp:posOffset>
            </wp:positionV>
            <wp:extent cx="1117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-2219325</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-2202815</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-2219325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-2202815</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-2219325</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-2202815</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-2219325</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-2202815</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-265430</wp:posOffset>
            </wp:positionV>
            <wp:extent cx="1117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 w:lineRule="exact"/>
        <w:rPr>
          <w:sz w:val="20"/>
          <w:szCs w:val="20"/>
          <w:color w:val="auto"/>
        </w:rPr>
      </w:pPr>
    </w:p>
    <w:p>
      <w:pPr>
        <w:ind w:left="760" w:right="920" w:hanging="10"/>
        <w:spacing w:after="0" w:line="327" w:lineRule="auto"/>
        <w:tabs>
          <w:tab w:leader="none" w:pos="1134"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significant expense category and amount align with the segment-level information that is regularly provided to the CODM. The following table sets forth capital expenditures by reportable segment: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92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color w:val="auto"/>
                <w:w w:val="92"/>
              </w:rPr>
              <w:t>2026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2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color w:val="auto"/>
              </w:rPr>
              <w:t>The following table sets forth depreciation and amortization by reportable segment:</w:t>
            </w:r>
          </w:p>
        </w:tc>
        <w:tc>
          <w:tcPr>
            <w:tcW w:w="8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8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9"/>
          </w:tcPr>
          <w:p>
            <w:pPr>
              <w:jc w:val="right"/>
              <w:ind w:right="90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20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The following tables set forth segment assets by reportable segment:</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Accounts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March 31, 2026</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receivable, net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476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20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278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200" w:type="dxa"/>
            <w:vAlign w:val="bottom"/>
            <w:shd w:val="clear" w:color="auto" w:fill="CFF0FC"/>
          </w:tcPr>
          <w:p>
            <w:pPr>
              <w:spacing w:after="0"/>
              <w:rPr>
                <w:sz w:val="18"/>
                <w:szCs w:val="18"/>
                <w:color w:val="auto"/>
              </w:rPr>
            </w:pPr>
          </w:p>
        </w:tc>
        <w:tc>
          <w:tcPr>
            <w:tcW w:w="12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195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5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949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6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-3205480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-3205480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-2108200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-1053465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-1053465</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Accounts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8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receivable, net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1280" w:type="dxa"/>
            <w:vAlign w:val="bottom"/>
            <w:gridSpan w:val="3"/>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475</w:t>
            </w:r>
          </w:p>
        </w:tc>
        <w:tc>
          <w:tcPr>
            <w:tcW w:w="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20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176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128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921</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reconciles total segment assets to total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color w:val="auto"/>
              </w:rPr>
              <w:t>March 31, 2026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20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-1679575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-1679575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-1679575</wp:posOffset>
            </wp:positionV>
            <wp:extent cx="596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Geographic Area</w:t>
      </w:r>
    </w:p>
    <w:p>
      <w:pPr>
        <w:spacing w:after="0" w:line="117" w:lineRule="exact"/>
        <w:rPr>
          <w:sz w:val="20"/>
          <w:szCs w:val="20"/>
          <w:color w:val="auto"/>
        </w:rPr>
      </w:pPr>
    </w:p>
    <w:p>
      <w:pPr>
        <w:ind w:left="760" w:right="160"/>
        <w:spacing w:after="0" w:line="266" w:lineRule="auto"/>
        <w:rPr>
          <w:sz w:val="20"/>
          <w:szCs w:val="20"/>
          <w:color w:val="auto"/>
        </w:rPr>
      </w:pPr>
      <w:r>
        <w:rPr>
          <w:rFonts w:ascii="Times New Roman" w:cs="Times New Roman" w:eastAsia="Times New Roman" w:hAnsi="Times New Roman"/>
          <w:sz w:val="18"/>
          <w:szCs w:val="18"/>
          <w:color w:val="auto"/>
        </w:rPr>
        <w:t>Information about the Company’s operations by geographic area is presented in the table below. Net revenues from unaffiliated customers are based on the shipped-to location of the end customer. Intercompany sales between geographic areas are recorded at tax transfer prices and have been eliminated from consolidated revenues.</w:t>
      </w:r>
    </w:p>
    <w:p>
      <w:pPr>
        <w:spacing w:after="0" w:line="117"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0" w:type="dxa"/>
            <w:vAlign w:val="bottom"/>
          </w:tcPr>
          <w:p>
            <w:pPr>
              <w:spacing w:after="0"/>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28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2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2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Taiwan</w:t>
            </w:r>
          </w:p>
        </w:tc>
        <w:tc>
          <w:tcPr>
            <w:tcW w:w="28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spacing w:after="0"/>
              <w:rPr>
                <w:sz w:val="21"/>
                <w:szCs w:val="21"/>
                <w:color w:val="auto"/>
              </w:rPr>
            </w:pPr>
          </w:p>
        </w:tc>
        <w:tc>
          <w:tcPr>
            <w:tcW w:w="28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596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0" w:lineRule="exact"/>
        <w:rPr>
          <w:sz w:val="20"/>
          <w:szCs w:val="20"/>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rFonts w:ascii="Times New Roman" w:cs="Times New Roman" w:eastAsia="Times New Roman" w:hAnsi="Times New Roman"/>
          <w:sz w:val="18"/>
          <w:szCs w:val="18"/>
          <w:b w:val="1"/>
          <w:bCs w:val="1"/>
          <w:color w:val="auto"/>
        </w:rPr>
      </w:pPr>
    </w:p>
    <w:p>
      <w:pPr>
        <w:ind w:left="7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recorded $3 of restructuring charges in restructuring and other during the three months ended March 31, 2026 primarily related to severance costs incurred as a result of a reorganization of certain business units within PSD implemented during the first quarter of 2026. The Company recorded $16 of restructuring charges in restructuring and other during the three months ended March 31, 2025 related to severance costs incurred as a result of a cost saving initiative implemented during the first quarter of 2025, primarily in the general metal finishing business within MSD.</w:t>
      </w:r>
    </w:p>
    <w:p>
      <w:pPr>
        <w:spacing w:after="0" w:line="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activity related to the Company’s restructuring accrual is shown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94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Charged to expense</w:t>
            </w:r>
          </w:p>
        </w:tc>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and adjustments</w:t>
            </w:r>
          </w:p>
        </w:tc>
        <w:tc>
          <w:tcPr>
            <w:tcW w:w="38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3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9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4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-1053465</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ind w:right="-211"/>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52" w:right="7720" w:hanging="752"/>
        <w:spacing w:after="0" w:line="503" w:lineRule="auto"/>
        <w:tabs>
          <w:tab w:leader="none" w:pos="7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u w:val="single" w:color="auto"/>
          <w:color w:val="auto"/>
        </w:rPr>
        <w:t>Legal Proceedings</w:t>
      </w:r>
    </w:p>
    <w:p>
      <w:pPr>
        <w:ind w:left="75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legal proceedings and claims that have arisen in the ordinary course of business. In the opinion of management, the ultimate disposition of these matters will not have a material adverse effect on the Company’s results of operations, financial condition or cash flows.</w:t>
      </w:r>
    </w:p>
    <w:p>
      <w:pPr>
        <w:spacing w:after="0" w:line="135"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769"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Inc. (“MKS,” the “Company,” “our,” or “we”).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forward-looking statements. Actual events or results may differ materially from those in the forward-looking statements set forth herein.</w:t>
      </w:r>
    </w:p>
    <w:p>
      <w:pPr>
        <w:spacing w:after="0" w:line="81"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17"/>
          <w:szCs w:val="17"/>
          <w:color w:val="auto"/>
        </w:rPr>
        <w:t>Among the important factors that could cause actual events to differ materially from those in the forward-looking statements that we make are the level and terms of our substantial indebtedness and our ability to service such debt; risks related to pursuing, completing, and/or failing to realize the benefits of acquisitions and other strategic transactions critical to our growth strategy; risks related to cybersecurity, data privacy and intellectual property; manufacturing and sourcing risks, including supply chain disruptions, component shortages and price increases, the use of limited, sole source and international suppliers, the relocation of manufacturing operations, and product defects; risks associated with doing business internationally, including geopolitical conflicts, trade compliance, trade protection measures, such as import tariffs by the United States and/or retaliatory actions taken by other countries, regulatory restrictions on our products, components or markets, particularly the semiconductor market, and unfavorable currency exchange and tax rate fluctuations; conditions affecting the markets in which we operate, including intense competition, rapid technological and market changes, dependence on new product development, the ability to anticipate and meet customer demand, fluctuations in capital spending in the semiconductor, electronics manufacturing and automotive industries, and fluctuations in sales to our major customers; disruptions or delays from third-party service providers upon which our operations may rely; risks associated with the attraction and retention of key personnel; potential fluctuations in quarterly results; volatility of stock price; risks associated with chemical manufacturing and environmental regulation compliance; risks associated with artificial intelligence (“AI”); financial and legal risk management; and the other important factors described under the heading “Risk Factors” in Part I, Item 1A of our Annual Report on Form 10-K for the year ended December 31, 2025 filed with the U.S. Securities and Exchange Commission on February 24, 2026 (“Annual Report”) and any subsequent Quarterly Reports on Form 10-Q. We are under no obligation to, and expressly disclaim any obligation to, update or alter these forward-looking statements, whether as a result of new information, future events or otherwise, even if subsequent events cause our views to change.</w:t>
      </w:r>
    </w:p>
    <w:p>
      <w:pPr>
        <w:spacing w:after="0" w:line="11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describes principal factors affecting the results of operations, financial condition, cash flows and liquidity, as well as our critical accounting policies and estimates that require significant judgment and thus have the most significant potential impact on our condensed consolidated financial statements, and is intended to better allow investors to view the Company from management’s perspective. This section focuses on material events and uncertainties known to management that are reasonably likely to cause reported financial information not to be necessarily indicative of our future operating results or of our future financial condition. This section provides an analysis of our financial results for the three months ended March 31, 2026 compared to the three months ended December 31, 2025 and the three months ended March 31, 2025. As a result of rounding, there may be immaterial differences in amounts presented and certain calculations may not sum to the total number expressed in each category or tie to a corresponding schedule.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8"/>
          <w:szCs w:val="18"/>
          <w:color w:val="auto"/>
        </w:rPr>
        <w:t>MKS was founded in 1961 as a Massachusetts corporation. 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three divisions, which are our reportable segments: Vacuum Solutions Division (“VSD”), Photonics Solutions Division (“PSD”) and Materials Solutions Division (“MSD”).</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VSD delivers foundational technology solutions for semiconductor manufacturing, electronics and packaging and specialty industrial applications. VSD products are derived from our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spacing w:after="0" w:line="7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PSD provides a broad range of instruments, components and subsystems to leading edge semiconductor manufacturing, electronics and packaging and specialty industrial applications. PSD products are derived from our core competencies in lasers, photonics, optics, precision motion control and vibration control.</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our electronics and packaging and specialty industrial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Revenues by End Market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 Total</w:t>
            </w:r>
          </w:p>
        </w:tc>
        <w:tc>
          <w:tcPr>
            <w:tcW w:w="220" w:type="dxa"/>
            <w:vAlign w:val="bottom"/>
          </w:tcPr>
          <w:p>
            <w:pPr>
              <w:spacing w:after="0"/>
              <w:rPr>
                <w:sz w:val="12"/>
                <w:szCs w:val="12"/>
                <w:color w:val="auto"/>
              </w:rPr>
            </w:pPr>
          </w:p>
        </w:tc>
        <w:tc>
          <w:tcPr>
            <w:tcW w:w="1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 Total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80" w:type="dxa"/>
            <w:vAlign w:val="bottom"/>
          </w:tcPr>
          <w:p>
            <w:pPr>
              <w:spacing w:after="0"/>
              <w:rPr>
                <w:sz w:val="12"/>
                <w:szCs w:val="12"/>
                <w:color w:val="auto"/>
              </w:rPr>
            </w:pPr>
          </w:p>
        </w:tc>
        <w:tc>
          <w:tcPr>
            <w:tcW w:w="94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color w:val="auto"/>
              </w:rPr>
              <w:t>% 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Semiconductor</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Electronics and Packaging</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Specialty Industrial</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58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Total net revenues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1,078</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w:t>
            </w:r>
          </w:p>
        </w:tc>
        <w:tc>
          <w:tcPr>
            <w:tcW w:w="1300" w:type="dxa"/>
            <w:vAlign w:val="bottom"/>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w:t>
            </w:r>
          </w:p>
        </w:tc>
        <w:tc>
          <w:tcPr>
            <w:tcW w:w="126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-136525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3251200</wp:posOffset>
            </wp:positionH>
            <wp:positionV relativeFrom="paragraph">
              <wp:posOffset>-136525</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4177030</wp:posOffset>
            </wp:positionH>
            <wp:positionV relativeFrom="paragraph">
              <wp:posOffset>-136525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-136525</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-136525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6569075</wp:posOffset>
            </wp:positionH>
            <wp:positionV relativeFrom="paragraph">
              <wp:posOffset>-136525</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Market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critical solutions provider for semiconductor manufacturing. Our products are used in major semiconductor processing steps, such as deposition,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we support. We believe we are the broadest critical subsystem provider in the wafer fabrication equipment (“WFE”) ecosystem and address over 85% of the market. We characterize our broad and unique offering as Surround the Wafer® to reflect the technology enablement we provide across almost every major process in semiconductor manufacturing today.</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semiconductor market is subject to rapid demand shifts, which are difficult to predict, and we cannot be certain as to the timing or extent of future demand or any future softening in the semiconductor capital equipment industry. We are currently in a semiconductor ramp as demand for semiconductor chips is growing in the near term as a result of increased investments in AI transformation-related applications. In addition to these rapid demand shifts, the semiconductor capital equipment industry is currently subject to significant trade restrictions, especially in key markets, including China.</w:t>
      </w:r>
    </w:p>
    <w:p>
      <w:pPr>
        <w:spacing w:after="0" w:line="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revenues in our semiconductor market increased by $31 million, or 7%, compared to the prior quarter due to higher sales of our semiconductor capital equipment at VSD serving deposition and etch applications as well as NAND memory production upgrades.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revenues in our semiconductor market increased by $53 million, or 13%, compared to the same period in the prior year. This increase was mainly due to higher sales of our semiconductor capital equipment serving deposition and etch applications and service revenues at VSD, as well as higher sales in our lithography, metrology and inspection products at PSD.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Electronics and Packaging Market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 foundational solutions provider for the electronics and packaging market. Our portfolio includes photonics components, laser drilling systems, electronics chemistries and plating equipment that are critical for the manufacturing of</w:t>
      </w:r>
    </w:p>
    <w:p>
      <w:pPr>
        <w:spacing w:after="0" w:line="1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0" w:name="page31"/>
    <w:bookmarkEnd w:id="30"/>
    <w:p>
      <w:pPr>
        <w:ind w:right="40"/>
        <w:spacing w:after="0" w:line="258" w:lineRule="auto"/>
        <w:rPr>
          <w:sz w:val="20"/>
          <w:szCs w:val="20"/>
          <w:color w:val="auto"/>
        </w:rPr>
      </w:pPr>
      <w:r>
        <w:rPr>
          <w:rFonts w:ascii="Times New Roman" w:cs="Times New Roman" w:eastAsia="Times New Roman" w:hAnsi="Times New Roman"/>
          <w:sz w:val="18"/>
          <w:szCs w:val="18"/>
          <w:color w:val="auto"/>
        </w:rPr>
        <w:t>printed circuit boards (“PCB”) and package substrates, and critical to wafer level packaging (“WLP”) applications. Similar to the semiconductor industry, the PCB, package substrate and WLP industries demand smaller features, greater density, and better performance. In addition, the electronics and packaging market also includes sales of our vacuum and photonics solutions for display manufacturing applications. We characterize our complementary offering of laser systems and chemistry solutions as Optimize the Interconnect®, to reflect the unique technology enablement we provide at the Interconnect level within PCBs, package substrates and WLPs.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revenues in our electronics and packaging market increased by $18 million, or 6%, compared to the prior quarter primarily due to higher sales of flexible PCB via drilling systems at PSD and chemistry at MSD, partially offset by lower sales of chemistry equipment at MSD.</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revenues in our electronics and packaging market increased by $68 million, or 27%, compared to the same period in the prior year. This increase was primarily due to higher chemistry sales at MSD as well as higher sales of flexible PCB via drilling systems at PSD.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Industrial Market</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Our strategy in the specialty industrial market is to leverage our domain expertise and proprietary technologies across a broad array of applications in industrial, life and health sciences, and research and defense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Industrial encompasses a wide range of diverse applications, including chemistries for functional coatings, surface finishing and wear resistance in the automobile industry, vacuum solutions for synthetic diamond manufacturing and photonics for solar manufacturing. Other applications include vacuum and photonics solutions for light emitting diode and laser diode manufacturing.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and Health Sciences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Defense</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revenues in our specialty industrial market decreased by $4 million, or 2%, compared to the prior quarter, mainly due to lower life and health sciences as well as research and defense sales.</w:t>
      </w:r>
    </w:p>
    <w:p>
      <w:pPr>
        <w:spacing w:after="0" w:line="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revenues in our specialty industrial market increased by $21 million, or 8%, compared to the same period in the prior year. This increase was primarily due to higher sales in datacom applications, as well as higher research and defense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Markets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significant portion of our net revenues is from sales to customers in international markets. For the three months ended March 31, 2026 and 2025, international net revenues accounted for approximately 82% and 81% respectively, of our total net revenues. We report geographical net revenues based on the shipped-to location of the end customer. A significant portion of our international net revenues was from customers in China, South Korea, Singapore, Malaysia, Japan and Taiwan. We expect international net revenues will continue to account for a significant percentage of total net revenues for the foreseeable future.</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Long-lived assets located outside of the United States accounted for approximately 70% of our total long-lived assets as of both March 31, 2026 and December 31, 2025. Long-lived assets include property, plant and equipment, net, right-of-use assets and certain other assets.</w:t>
      </w:r>
    </w:p>
    <w:p>
      <w:pPr>
        <w:spacing w:after="0" w:line="1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080" w:top="1093"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accounting principles generally accepted in the United States requires management to make judgments, assumptions and estimates that affect the amounts reported. There have been no material changes in our critical accounting policies since December 31, 2025.</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about our critical accounting policies, please see the discussion of critical accounting policies in our Annual Report in the section captioned “Management’s Discussion and Analysis of Financial Condition and Results of Operations </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Critical Accounting Policies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of total net revenues of certain line items included in our condensed consolidated statements of operations and comprehensive income (loss) data:</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Three Months Ended</w:t>
            </w:r>
          </w:p>
        </w:tc>
        <w:tc>
          <w:tcPr>
            <w:tcW w:w="1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166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5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Product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88.5%</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87.8%</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Service</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net revenues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product revenues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0" w:type="dxa"/>
            <w:vAlign w:val="bottom"/>
          </w:tcPr>
          <w:p>
            <w:pPr>
              <w:ind w:left="160"/>
              <w:spacing w:after="0" w:line="182" w:lineRule="exact"/>
              <w:rPr>
                <w:sz w:val="20"/>
                <w:szCs w:val="20"/>
                <w:color w:val="auto"/>
              </w:rPr>
            </w:pPr>
            <w:r>
              <w:rPr>
                <w:rFonts w:ascii="Times New Roman" w:cs="Times New Roman" w:eastAsia="Times New Roman" w:hAnsi="Times New Roman"/>
                <w:sz w:val="16"/>
                <w:szCs w:val="16"/>
                <w:color w:val="auto"/>
              </w:rPr>
              <w:t>Total cost of revenues (exclusive of amortization shown separately</w:t>
            </w: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below)</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settlement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Fees and expenses related to debt activities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c>
          <w:tcPr>
            <w:tcW w:w="1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-2767965</wp:posOffset>
            </wp:positionV>
            <wp:extent cx="946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-2767965</wp:posOffset>
            </wp:positionV>
            <wp:extent cx="946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-2767965</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-2245360</wp:posOffset>
            </wp:positionV>
            <wp:extent cx="946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-2245360</wp:posOffset>
            </wp:positionV>
            <wp:extent cx="946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-2245360</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-1079500</wp:posOffset>
            </wp:positionV>
            <wp:extent cx="946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-1079500</wp:posOffset>
            </wp:positionV>
            <wp:extent cx="946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-1079500</wp:posOffset>
            </wp:positionV>
            <wp:extent cx="939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-24765</wp:posOffset>
            </wp:positionV>
            <wp:extent cx="946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-7620</wp:posOffset>
            </wp:positionV>
            <wp:extent cx="946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-24765</wp:posOffset>
            </wp:positionV>
            <wp:extent cx="946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-7620</wp:posOffset>
            </wp:positionV>
            <wp:extent cx="946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-24765</wp:posOffset>
            </wp:positionV>
            <wp:extent cx="93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-7620</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revenues for product and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Revenues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63"/>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-8255</wp:posOffset>
            </wp:positionV>
            <wp:extent cx="596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product revenues increased $47 million compared to the prior quarter primarily due to higher sales of our semiconductor capital equipment at VSD serving deposition and etch applications and higher NAND memory production upgrades, and higher sales of flexible PCB via drilling systems at PSD.</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product revenues increased $135 million compared to the same period in the prior year, primarily as a result of higher sales related to chemistry at MSD, semiconductor capital equipment serving deposition and etch applications at VSD, and datacom applications at PSD.</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2" w:name="page33"/>
    <w:bookmarkEnd w:id="32"/>
    <w:p>
      <w:pPr>
        <w:ind w:right="280"/>
        <w:spacing w:after="0" w:line="266" w:lineRule="auto"/>
        <w:rPr>
          <w:sz w:val="20"/>
          <w:szCs w:val="20"/>
          <w:color w:val="auto"/>
        </w:rPr>
      </w:pPr>
      <w:r>
        <w:rPr>
          <w:rFonts w:ascii="Times New Roman" w:cs="Times New Roman" w:eastAsia="Times New Roman" w:hAnsi="Times New Roman"/>
          <w:sz w:val="18"/>
          <w:szCs w:val="18"/>
          <w:color w:val="auto"/>
        </w:rPr>
        <w:t>Net service revenues consisted mainly of fees for services related to the maintenance and repair of our products, sales of spare parts, and installation and training. For the three months ended March 31, 2026, net service revenues decreased $2 million compared to the prior quarter mainly as a result of lower repair demand in our semiconductor and specialty industrial markets at VSD.</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service revenues increased $7 million compared to the same period in the prior year, primarily due to higher repair demand in our semiconductor market at VSD.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revenues by reportable segment: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color w:val="auto"/>
              </w:rPr>
              <w:t>Three Months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Vacuum Solutions Division</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Photonics Solutions Division</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Materials Solutions Division</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-25400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-25400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5428615</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-25400</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net revenues from VSD increased $25 million compared to the prior quarter mainly due to increased sales in semiconductor capital equipment serving deposition and etch applications as well as NAND memory production upgrades. For the three months ended March 31, 2026, net revenues from VSD increased $39 million compared to the same period in the prior year, mainly due to higher sales of our semiconductor capital equipment serving deposition and etch applications and higher service revenues.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net revenues from PSD increased $29 million compared to the prior quarter mainly due to higher sales of flexible PCB via drilling systems in our electronics and packaging market and higher sales in datacom applications within our specialty industrial market. For the three months ended March 31, 2026, net revenues from PSD increased $40 million compared to the same period in the prior year, mainly due to higher sales in datacom applications in our specialty industrial market, higher sales of flexible PCB via drilling systems in our electronics and packaging market as well as higher sales of our lithography, metrology and inspection products in our semiconductor market.</w:t>
      </w:r>
    </w:p>
    <w:p>
      <w:pPr>
        <w:spacing w:after="0" w:line="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net revenues from MSD decreased $9 million compared to the prior quarter mainly due to a decrease in electronic equipment sales and lower sales for industrial applications, partially offset by increased chemistry sales in our electronics and packaging market. For the three months ended March 31, 2026, revenues from MSD increased $63 million compared to the same period in the prior year, mainly due to higher electronic chemistry sales in our electronics and packaging market as well as higher sales for industrial applications.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gross profit as a percentage of net revenues by product and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 Excluding Amortization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4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March 31, 2026</w:t>
            </w:r>
          </w:p>
        </w:tc>
        <w:tc>
          <w:tcPr>
            <w:tcW w:w="1660" w:type="dxa"/>
            <w:vAlign w:val="bottom"/>
            <w:gridSpan w:val="2"/>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December 31, 2025</w:t>
            </w:r>
          </w:p>
        </w:tc>
        <w:tc>
          <w:tcPr>
            <w:tcW w:w="1300" w:type="dxa"/>
            <w:vAlign w:val="bottom"/>
            <w:gridSpan w:val="2"/>
          </w:tcPr>
          <w:p>
            <w:pPr>
              <w:jc w:val="right"/>
              <w:ind w:right="520"/>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14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March 31, 2025</w:t>
            </w:r>
          </w:p>
        </w:tc>
        <w:tc>
          <w:tcPr>
            <w:tcW w:w="1120" w:type="dxa"/>
            <w:vAlign w:val="bottom"/>
          </w:tcPr>
          <w:p>
            <w:pPr>
              <w:jc w:val="right"/>
              <w:ind w:right="244"/>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Change</w:t>
            </w:r>
          </w:p>
        </w:tc>
        <w:tc>
          <w:tcPr>
            <w:tcW w:w="1480" w:type="dxa"/>
            <w:vAlign w:val="bottom"/>
            <w:gridSpan w:val="2"/>
            <w:vMerge w:val="continue"/>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(As a percentage of net revenues)</w:t>
            </w: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Product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46.1%</w:t>
            </w:r>
          </w:p>
        </w:tc>
        <w:tc>
          <w:tcPr>
            <w:tcW w:w="166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45.9%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Service</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54.3%</w:t>
            </w:r>
          </w:p>
        </w:tc>
        <w:tc>
          <w:tcPr>
            <w:tcW w:w="1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50.6%</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52.9%</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Total gross profit percentage</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47.0%</w:t>
            </w:r>
          </w:p>
        </w:tc>
        <w:tc>
          <w:tcPr>
            <w:tcW w:w="166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46.4%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47.4%</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product revenues increased by 0.2 percentage points for the three months ended March 31, 2026 compared to the prior quarter, primarily due to higher revenue volumes and lower material costs offset by unfavorable product mix.</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product revenues decreased by 0.5 percentage points for the three months ended March 31, 2026 compared to the same period in the prior year, primarily due to unfavorable product mix and higher duty and tariff costs, partially offset by higher revenue volumes and lower excess and obsolete inventory charges.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services revenues increased by 3.7 percentage points for the three months ended March 31, 2026 compared to the prior quarter, primarily due to favorable labor and overhead absorption and lower excess and obsolete inventory charges, partially offset by unfavorable product mix.</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services revenues increased by 1.4 percentage points for the three months ended March 31, 2026 compared to the same period in the prior year, primarily due to favorable labor and overhead absorption and lower excess and obsolete inventory charges offset by unfavorable product mix.</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sets forth gross profit as a percentage of net revenues by reportable segment: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4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March 31, 2026</w:t>
            </w:r>
          </w:p>
        </w:tc>
        <w:tc>
          <w:tcPr>
            <w:tcW w:w="164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December 31, 2025</w:t>
            </w:r>
          </w:p>
        </w:tc>
        <w:tc>
          <w:tcPr>
            <w:tcW w:w="1360" w:type="dxa"/>
            <w:vAlign w:val="bottom"/>
            <w:gridSpan w:val="2"/>
          </w:tcPr>
          <w:p>
            <w:pPr>
              <w:jc w:val="right"/>
              <w:ind w:right="580"/>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14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March 31, 2025</w:t>
            </w:r>
          </w:p>
        </w:tc>
        <w:tc>
          <w:tcPr>
            <w:tcW w:w="1120" w:type="dxa"/>
            <w:vAlign w:val="bottom"/>
          </w:tcPr>
          <w:p>
            <w:pPr>
              <w:jc w:val="right"/>
              <w:ind w:right="243"/>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(As a percentage of net revenues)</w:t>
            </w:r>
          </w:p>
        </w:tc>
        <w:tc>
          <w:tcPr>
            <w:tcW w:w="14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Change</w:t>
            </w:r>
          </w:p>
        </w:tc>
        <w:tc>
          <w:tcPr>
            <w:tcW w:w="1480" w:type="dxa"/>
            <w:vAlign w:val="bottom"/>
            <w:gridSpan w:val="2"/>
            <w:vMerge w:val="continue"/>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3180" w:type="dxa"/>
            <w:vAlign w:val="bottom"/>
            <w:vMerge w:val="continue"/>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Vacuum Solutions Division</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6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42.2%</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45.3%</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Photonics Solutions Division</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w:t>
            </w:r>
          </w:p>
        </w:tc>
        <w:tc>
          <w:tcPr>
            <w:tcW w:w="16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44.0%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Materials Solutions Division</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52.2%</w:t>
            </w:r>
          </w:p>
        </w:tc>
        <w:tc>
          <w:tcPr>
            <w:tcW w:w="16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53.6%</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54.5%</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profit percentage</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47.0%</w:t>
            </w:r>
          </w:p>
        </w:tc>
        <w:tc>
          <w:tcPr>
            <w:tcW w:w="16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46.4%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47.4%</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revenues for VSD increased for the three months ended March 31, 2026 compared to the prior quarter, primarily due to higher revenue volumes and favorable factory utilization, partially offset by unfavorable product mix and higher excess and obsolete inventory charges. Gross profit as a percentage of net revenues for VSD decreased for the three months ended March 31, 2026 compared to the same period in the prior year, primarily due to unfavorable product mix and higher duty and tariff costs, partially offset by higher revenue volumes and favorable factory utilization as well as lower excess and obsolete inventory charges.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revenues for PSD increased for the three months ended March 31, 2026 compared to the prior quarter, primarily due to higher revenue volumes and favorable factory utilization. Gross profit as a percentage of net revenues for PSD increased for the three months ended March 31, 2026 compared to the same period in the prior year, primarily due to higher revenue volumes, favorable factory utilization and lower excess and obsolete inventory charges, partially offset by higher duty and tariff costs.</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revenues for MSD decreased for the three months ended March 31, 2026 compared to the prior quarter, primarily due to higher palladium prices, partially offset by higher revenue volumes. Gross profit as a percentage of net revenues for MSD decreased for the three months ended March 31, 2026 compared to the same period in the prior year, primarily due to higher palladium prices, partially offset by higher revenue volumes.</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above gross profit percentages by division exclude an immaterial amount of unallocated corporate expense included in the total gross profit percentage.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$3 million compared to the prior quarter primarily due to $2 million in compensation-related costs. Research and development expenses increased $11 million for the three months ended March 31, 2026 compared to the same period in the prior year primarily due to $4 million in compensation-related costs, $3 million in project material costs and $2 million in software maintenance costs.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primarily focused on developing and improving our instruments, components, chemistry, subsystems, systems and process control solutions to improve process performance and productivity. We have thousands of products, and our research and development efforts primarily consist of a large number of projects related to these products, none of which is individually material. Projects typically have a duration of 3 to 36 months but may be extended for development of new products.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continue to make product advancements designed to meet our customers’ evolving needs. We have developed, and continue to develop, new products designed to address industry trends, such as the rising demand for more complex hardware architecture related to increasing investments in artificial intelligence,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and tablet market, the growth in units and via counts in the high density interconnect PCB drilling market, and the transition from internal combustion to electric vehicles.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 development investment supports existing customers’ product improvement needs and their short-term research and development goals, which enables us to pioneer new high-value solutions while limiting commercial risk.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spacing w:after="0" w:line="14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4" w:name="page35"/>
    <w:bookmarkEnd w:id="34"/>
    <w:p>
      <w:pPr>
        <w:ind w:right="120"/>
        <w:spacing w:after="0" w:line="254" w:lineRule="auto"/>
        <w:rPr>
          <w:sz w:val="20"/>
          <w:szCs w:val="20"/>
          <w:color w:val="auto"/>
        </w:rPr>
      </w:pPr>
      <w:r>
        <w:rPr>
          <w:rFonts w:ascii="Times New Roman" w:cs="Times New Roman" w:eastAsia="Times New Roman" w:hAnsi="Times New Roman"/>
          <w:sz w:val="18"/>
          <w:szCs w:val="18"/>
          <w:color w:val="auto"/>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 Our success depends on many of our products being designed into new generations of equipment for the semiconductor, electronics and packaging, and specialty industrial markets. We seek to develop products that are technologically advanced so that they are positioned to be chosen for use in each successive generation of semiconductor capital equipment and advanced markets applications. If our products are not chosen to be designed into our customers’ products, our net revenues may be reduced during the lifespan of those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$5 million for the three months ended March 31, 2026 compared to the prior quarter, primarily due to an increase of $11 million, mainly related to stock compensation, partially offset by decreases of $3 million in consulting fees and $2 million in legal costs.</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$5 million for the three months ended March 31, 2026 compared to the same period in the prior year, primarily due to an increase of $5 million in variable incentive compensation, partially offset by lower headcount costs resulting from the global cost saving initiative implemented during the first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and Other</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7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308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Restructuring and other charges during the three months ended March 31, 2026 related primarily to severance costs incurred as a result of a reorganization of certain business units within PSD implemented during the first quarter of 2026. Restructuring and other charges during the three months ended December 31, 2025 related primarily to third party costs supporting certain strategic initiatives. Restructuring and other charges during the three months ended March 31, 2025 related to severance costs incurred as a result of a cost saving initiative implemented in the first quarter of 2025, primarily in the general metal finishing business within MSD.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Settlement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1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settlement</w:t>
            </w:r>
          </w:p>
        </w:tc>
        <w:tc>
          <w:tcPr>
            <w:tcW w:w="334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we recorded a charge related to the resolution of a legal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Fees and Expenses Related to Debt Activities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Fees and expenses related to debt activities</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recorded fees and expenses related to the Sixth Amendment to Credit Agreement, dated as of February 4, 2026, by and among us as parent borrower, the other loan parties party thereto, JPMorgan Chase Bank, N.A., as administrative agent, and each lender party thereto (the “Sixth Amendment”) as well as a fee from a foreign exchange option contract related to the 2034 Notes (as defined below). During the three months ended March 31, 2025, we recorded fees and expenses related to the Fifth Amendment to Credit Agreement, dated as of January 24, 2025, by and among us as parent borrower, the other loan parties party thereto, JPMorgan Chase Bank, N.A., as administrative agent, and each lender party thereto (the “Fifth Amendment”).</w:t>
      </w:r>
    </w:p>
    <w:p>
      <w:pPr>
        <w:spacing w:after="0" w:line="1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Amortization of intangible assets for the three months ended March 31, 2026 increased $1 million compared to the prior quarter and $3 million compared to the same period in the prior year primarily due to the impact of foreign exchange rates on intangible assets at foreign locations.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340"/>
        <w:spacing w:after="0" w:line="281" w:lineRule="auto"/>
        <w:rPr>
          <w:sz w:val="20"/>
          <w:szCs w:val="20"/>
          <w:color w:val="auto"/>
        </w:rPr>
      </w:pPr>
      <w:r>
        <w:rPr>
          <w:rFonts w:ascii="Times New Roman" w:cs="Times New Roman" w:eastAsia="Times New Roman" w:hAnsi="Times New Roman"/>
          <w:sz w:val="17"/>
          <w:szCs w:val="17"/>
          <w:color w:val="auto"/>
        </w:rPr>
        <w:t>Interest expense, net decreased by $4 million for the three months ended March 31, 2026 compared to the prior quarter, primarily due to the Sixth Amendment, which resulted in a reduction in interest rates under our Term Loan Facility and the 2034 Notes Offering (each as defined below), the proceeds of which we used, together with cash on hand, to prepay approximately $1.3 billion of our USD Tranche B (as defined below). We also made a voluntary prepayment of $100 million on our USD Tranche B during the three months ended December 31, 2025.</w:t>
      </w:r>
    </w:p>
    <w:p>
      <w:pPr>
        <w:spacing w:after="0" w:line="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$7 million for the three months ended March 31, 2026 compared to the same period in the prior year primarily as a result of the Sixth Amendment and the 2034 Notes Offering as described above, as well as voluntary prepayments on the USD Tranche B in the amount of $400 million throughout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in connection with the Sixth Amendment and voluntary prepayment on our USD Tranche B loan in February 2026, we recorded a loss on extinguishment of debt as a result of the acceleration of deferred financing and original issue discounts associated with our loans under the Term Loan Facility.</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2025, we recorded a loss on extinguishment of debt as a result of acceleration of deferred financing and original issue discount costs in connection with a voluntary prepayment on our USD Tranche B loan in October 2025.</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in connection with the Fifth Amendment and a voluntary prepayment on our USD Tranche B loan in January 2025, we recorded a loss on extinguishment of debt as a result of the acceleration of deferred financing and original issue discounts associated with our loans under the Term Loan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three months ended March 31, 2026, three months ended December 31, 2025 and three months ended March 31, 2025 consisted primarily of net foreign exchange and fair value gains and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(Benefit) for Income Taxes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Three Months Ended</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March 31, 2026</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58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effective tax rates for the three months ended March 31, 2026, three months ended December 31, 2025, and three months ended March 31, 2025 were 17.7%, (20.8%), and 12.3%, respectively. Our effective tax rates for the three months ended March 31, 2026 and March 31, 2025 were lower than the U.S. statutory tax rate, mainly due to the U.S. deduction for Foreign-Derived Deduction Eligible Income and research and development tax credits, partially offset by foreign withholding</w:t>
      </w:r>
    </w:p>
    <w:p>
      <w:pPr>
        <w:spacing w:after="0" w:line="1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36" w:name="page37"/>
    <w:bookmarkEnd w:id="36"/>
    <w:p>
      <w:pPr>
        <w:ind w:right="100"/>
        <w:spacing w:after="0" w:line="261" w:lineRule="auto"/>
        <w:rPr>
          <w:sz w:val="20"/>
          <w:szCs w:val="20"/>
          <w:color w:val="auto"/>
        </w:rPr>
      </w:pPr>
      <w:r>
        <w:rPr>
          <w:rFonts w:ascii="Times New Roman" w:cs="Times New Roman" w:eastAsia="Times New Roman" w:hAnsi="Times New Roman"/>
          <w:sz w:val="18"/>
          <w:szCs w:val="18"/>
          <w:color w:val="auto"/>
        </w:rPr>
        <w:t>taxes and a waiver of deductions related to U.S. base erosion payments. Our effective tax rate for the three months ended December 31, 2025 was lower than the U.S. statutory tax rate, mainly due to the U.S. deduction for Foreign-Derived Deduction Eligible Income, research and development tax credits, and valuation allowance release partially offset by foreign withholding taxes and a waiver of deductions related to U.S. base erosion payments.</w:t>
      </w:r>
    </w:p>
    <w:p>
      <w:pPr>
        <w:spacing w:after="0" w:line="7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Our future effective tax rate depends on various factors, including the impact of tax legislation, further interpretations and guidance from U.S. federal and state governments on the impact of proposed regulations issued by the Internal Revenue Service, as well as the geographic composition of our pre-tax income and changes in income tax reserves for unrecognized tax benefits. We monitor these factors and timely adjust our estimates of the effective tax rate accordingly. While we believe we have adequately provided for all tax positions, amounts asserted by taxing authorities could materially differ from our accrued positions as a result of uncertain and complex application of tax laws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6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and participating OECD member countries have issued rules introducing a 15% global minimum corporate tax rate for large multinational enterprise groups, also known as “Pillar Two.” These rules were amended in January 2026 by the OECD “Side-by-Side package” in particular to address the coexistence of U.S. minimum tax regimes and ensure that U.S. based multinational groups are not subject to both primary and secondary top-up taxes under Pillar Two. The adoption and effective dates of Pillar Two and any additional rules vary by country. However, we do not expect Pillar Two to have a material impact on our 2026 financial results. We will continue to monitor and evaluate the impact of any developing legislation.</w:t>
      </w:r>
    </w:p>
    <w:p>
      <w:pPr>
        <w:spacing w:after="0" w:line="7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into law. The OBBBA includes changes to the U.S. tax code,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2025 and others implemented through 2027. These changes to the U.S. tax code have not had a material impact on our results since the enactment of OBBBA and we do not anticipate these changes to the U.S. tax code will have a material impact on our results in future periods.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and cash equivalents at March 31, 2026 and December 31, 2025 totaled $569 million and $675 million, respectively. The primary driver of our current and anticipated future cash flows is, and we expect will continue to be, cash generated from operations, consisting primarily of our net income, excluding non-cash charges and changes in operating assets and liabilities.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total cash and cash equivalents at March 31, 2026 consisted of $126 million held in the United States and $443 million held by our foreign subsidiaries. We believe that our current cash and cash equivalents and available borrowing capacity, together with the cash anticipated to be generated from our operations, will be sufficient to satisfy our estimated working capital needs, planned capital expenditure requirements, payments of debt, potential settlement of convertible debt conversions and any future cash dividends declared by our Board of Directors or share repurchases through at least the next 12 months and the foreseeable future.</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$53 million for the three months ended March 31, 2026 and resulted from net income of $84 million, which included non-cash charges of $103 million, mainly the result of $85 million in depreciation and amortization, partially offset by $24 million in deferred income taxes and a net increase in working capital of $134 million. The net increase in working capital was primarily due to increases in accounts receivable of $129 million, as a result of higher sales, and inventory of $49 million, and a decrease in current and non-current accrued compensation of $68 million, mainly due to payments of variable compensation. The net increase in working capital was partially offset by increases in accounts payable of $45 million and other current and non-current liabilities of $36 million, and by a decrease in other current and non-current assets of $21 million.</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$25 million for the three months ended March 31, 2026 primarily related to capital expenditures for new facility additions in Malaysia and China.</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$137 million for the three months ended March 31, 2026, primarily due to net proceeds of €1.0 billion aggregate principal amount from the 2034 Notes, as defined and described further below, offset by the prepayment of $1.3 billion of the USD Tranche B loan using the proceeds from the 2034 Notes, together with cash on</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7" w:name="page38"/>
    <w:bookmarkEnd w:id="37"/>
    <w:p>
      <w:pPr>
        <w:ind w:right="660"/>
        <w:spacing w:after="0" w:line="282" w:lineRule="auto"/>
        <w:rPr>
          <w:sz w:val="20"/>
          <w:szCs w:val="20"/>
          <w:color w:val="auto"/>
        </w:rPr>
      </w:pPr>
      <w:r>
        <w:rPr>
          <w:rFonts w:ascii="Times New Roman" w:cs="Times New Roman" w:eastAsia="Times New Roman" w:hAnsi="Times New Roman"/>
          <w:sz w:val="18"/>
          <w:szCs w:val="18"/>
          <w:color w:val="auto"/>
        </w:rPr>
        <w:t>hand. In addition, there were payments of $22 million for deferred finance costs related to the issuance of the 2034 Notes and a dividend payment of $17 million.</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25, 2011, our Board of Directors approved a share repurchase program for the repurchase of up to an aggregate of $200 million of our outstanding common stock from time to time in open market purchases, privately negotiated transactions or through other appropriate means. The timing and quantity of any shares repurchased depends upon a variety of factors, including business conditions, stock market conditions and business development activities, including, but not limited to, merger and acquisition opportunities. These repurchases may be commenced, suspended or discontinued at any time without prior notice. Any repurchased shares are held by us as authorized but unissued shares.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did not repurchase any shares of common stock. During the three months ended March 31, 2025, we repurchased approximately 546,000 shares of our common stock for total consideration of $45 million. We have repurchased approximately 3.1 million shares of common stock for approximately $172 million pursuant to the program since its adoption.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when and if they are declared by our Board of Directors. For the three months ended March 31, 2026, we paid cash dividends of $17 million in the aggregate of $0.25 per share. For the three months ended March 31, 2025, we paid cash dividends of $15 million in the aggregate of $0.22 per share. Future dividend declarations, if any, as well as the record and payment dates for such dividends, are subject to the final determination of our Board of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Facilities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17, 2022, we entered into a credit agreement with JPMorgan Chase Bank, N.A., as administrative agent and collateral agent, Barclays Bank PLC, and the lenders from time to time party thereto, which we have since amended several times, including most recently in February 2026 (as amended, the “Credit Agreement”). As of March 31, 2026, after giving effect to all amendments and repayments prior to such date, the Credit Agreement provided for (i) a senior secured term loan facility comprised of two tranches: a $914 million loan (as refinanced and otherwise modified from time to time, the “USD Tranche B”) and a €587 million loan (as refinanced and otherwise modified from time to time, the “Euro Tranche B” and together with the USD Tranche B, the “Term Loan Facility”) and (ii) a senior secured revolving credit facility with aggregate commitments of $1.0 billion (as refinanced and otherwise modified from time to time, the “Revolving Facility” and, together with the Term Loan Facility, the “Credit Facilities”).</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March 31, 2026, borrowings under the Credit Facilities bore interest at a rate per annum equal to, at our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the variable secured overnight financing rate (“Term SOFR”) for an interest period of one month, plus 1.00%, and (y) a Term SOFR rate for the interest period relevant to such borrowing; and (b) with respect to the Euro Tranche B, a Euro Interbank Offered Rate (“EURIBOR”) rate determined by reference to the costs of funds for Euro deposits for the interest period relevant to such borrowing adjusted for certain additional costs, in each case of clauses (a) and (b) above subject to a rate floor of 0.0%. As of March 31, 2026, the applicable margins for borrowings under the Credit Facilities were (i) under the USD Tranche B and the Revolving Facility, 0.75% with respect to base rate borrowings and 1.75% with respect to Term SOFR borrowings and (ii) under the Euro Tranche B, 2.00%.</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Credit Facilities, we are required to pay a commitment fee in respect of the unutilized commitments under the Revolving Facility. The commitment fee is subject to adjustment based on our first lien net leverage ratio as of the end of the preceding fiscal quarter. As of March 31, 2026, the commitment fee was 0.25% per annum. We must also pay customary letter of credit fees and agency fees.</w:t>
      </w:r>
    </w:p>
    <w:p>
      <w:pPr>
        <w:spacing w:after="0" w:line="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On February 4, 2026, we entered into the Sixth Amendment to Credit Agreement (the “Sixth Amendment”), pursuant to which we, among other things, (i) refinanced our then-existing USD Tranche B loan and Euro Tranche B loan with the $914 million USD Tranche B loan and the €587 million Euro Tranche B loan, (ii) refinanced and increased the commitments under our then-existing Revolving Facility with the $1.0 billion Revolving Facility, (iii) decreased the applicable margin for the USD Tranche B from 2.00% to 1.75% with respect to Term SOFR borrowings and from 1.00% to 0.75% with respect to base rate borrowings, (iv) decreased the applicable margin for the Euro Tranche B from 2.50% to 2.00%, (v) decreased the applicable margin under the Revolving Facility from 2.50% to 1.75% with respect to SOFR borrowings and from</w:t>
      </w:r>
    </w:p>
    <w:p>
      <w:pPr>
        <w:spacing w:after="0" w:line="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1.50% to 0.75% with respect to base rate borrowings, (vi) eliminated the credit spread adjustment applicable to SOFR borrowings of the Revolving Facility and (vii) extended the maturities of the Term Loan Facility to February 2033 and the Revolving Facility to February 2031. The refinanced USD Tranche B loan and Euro Tranche B loan were issued without original issue discount. In connection with the execution of the Sixth Amendment, we paid customary fees and expenses to JPMorgan Chase Bank, N.A.</w:t>
      </w:r>
    </w:p>
    <w:p>
      <w:pPr>
        <w:spacing w:after="0" w:line="1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8" w:name="page39"/>
    <w:bookmarkEnd w:id="38"/>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4, 2026, concurrently with the effectiveness of the Sixth Amendment, we made a voluntary prepayment of approximately $1.3 billion principal amount to the USD Tranche B loan using the net proceeds from the 2034 Notes (as defined below), together with cash on hand, reducing the outstanding principal amount of the USD Tranche B loan from approximately $2.2 billion to $914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6, 2026, we made a voluntary prepayment of $100 million principal amount on the USD Tranche B loan.</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Credit Agreement, we are required to prepay outstanding term loans, subject to certain exceptions, with portions of our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we are required to repay outstanding loans and/or cash collateralize letters of credit, with no reduction of the commitment amount.</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voluntarily prepay outstanding loans under the Credit Facilities from time to time, subject to certain conditions, without premium or penalty other than customary “breakage” costs with respect to Term SOFR or EURIBOR loans; provided, however, that subject to certain exceptions, if on or prior to August 4, 2026, we prepay any loans under the USD Tranche B or the Euro Tranche B in connection with a repricing transaction, we must pay a prepayment premium of 1.00% of the aggregate principal amount of the loans so prepaid. Additionally, we may voluntarily reduce the unutilized portion of the commitment amount under the Revolving Facility.</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2026, we were required to make scheduled quarterly principal payments equal to $2 million with respect to the USD Tranche B and €2 million with respect to the Euro Tranche B, in each case with the balance due thereunder on the maturity date of the Term Loan Facility. There is no scheduled amortization under the Revolving Facility. Any principal amount outstanding under the Revolving Facility is due and payable in full on the maturity date of the Revolving Facility.</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Facilities are guaranteed by certain of our wholly-owned domestic subsidiaries and are required to be guaranteed by certain of our future wholly-owned domestic subsidiaries, and are secured by substantially all of our assets and the assets of such subsidiaries, subject to certain exceptions and exclusions.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Credit Agreement, we have the ability to incur additional incremental debt facilities in an amount up to (x) the greater of (1) approximately $1.0 billion and (2) 75% of consolidated last 12 months earnings before interest, taxes, depreciation, and amortization, plus (y) an amount equal to the sum of all voluntary prepayments of term loans under the Term Loan Facility, plus (z) an additional unlimited amount subject to pro forma compliance with certain leverage ratio tests (based on the security and priority of such incremental debt).</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covenants and provisions relating to events of default. As of March 31, 2026, we were in compliance with all covenants under the Credit Agreement. The USD Tranche B and the Euro Tranche B are not subject to financial maintenance covenants.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interest rate of the Term Loan Facility was 4.79%. As of March 31, 2026, there were no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May 16, 2024, we completed a private offering of $1.4 billion aggregate principal amount of convertible senior notes due 2030 (the “Convertible Notes”).</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used approximately $167 million of the net proceeds from the offering to pay the cost of the capped call transactions described below. We used the remaining net proceeds from the offering to repay approximately $1.2 billion in borrowings outstanding under the USD Tranche B, together with accrued interest, as well as for general corporate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Indenture and the Convertible Notes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16, 2024, we entered into an indenture (the “Convertible Notes Indenture”) with respect to the Convertible Notes with U.S. Bank Trust Company, National Association, as trustee (the “Convertible Notes Trustee”). Under the Convertible Notes Indenture, the Convertible Notes are senior unsecured obligations of ours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w:t>
      </w:r>
    </w:p>
    <w:p>
      <w:pPr>
        <w:spacing w:after="0" w:line="1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on or after June 5, 2027, we may redeem for cash all or any portion of the Convertible Notes at a redemption price equal to 100% of the principal amount of the Convertible Notes to be redeemed, plus accrued and unpaid interest to, but excluding, the redemption date, if the last reported sale price of our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conversion rate for the Convertible Notes was initially 6.4799 shares of our common stock per one thousand dollars principal amount of the Convertible Notes, which is equivalent to an initial conversion price of approximately $154.32 per share. Effective April 1, 2026, the conversion rate for the Convertible Notes was adjusted to 6.4807 shares of our common stock per one thousand dollars principal amount of the Convertible Notes, which is equivalent to a conversion price of approximately $154.30 per share. The conversion rate is subject to adjustment upon the occurrence of certain events.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conversion, we will pay cash up to the aggregate principal amount of the Convertible Notes to be converted and pay or deliver, as the case may be, cash, shares of common stock or a combination of cash and shares of common stock, at our election, in respect of the remainder, if any, of our conversion obligation in excess of the aggregate principal amount of the Convertible Notes being converted. Prior to the close of business on the business day immediately preceding March 1, 2030, noteholders may convert all or any portion of their Convertible Notes under the following circumstances:</w:t>
      </w:r>
    </w:p>
    <w:p>
      <w:pPr>
        <w:spacing w:after="0" w:line="75" w:lineRule="exact"/>
        <w:rPr>
          <w:sz w:val="20"/>
          <w:szCs w:val="20"/>
          <w:color w:val="auto"/>
        </w:rPr>
      </w:pPr>
    </w:p>
    <w:p>
      <w:pPr>
        <w:ind w:left="1020" w:hanging="515"/>
        <w:spacing w:after="0" w:line="25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the calendar quarter ended September 30, 2024,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applicable conversion price of the Convertible Notes on each applicable trading day (the “Sale Price Condition”) (approximately $200.59 per share based on the current conversion price of approximately $154.30 per share, which is subject to further adjustment upon the occurrence of certain events);</w:t>
      </w:r>
    </w:p>
    <w:p>
      <w:pPr>
        <w:spacing w:after="0" w:line="79" w:lineRule="exact"/>
        <w:rPr>
          <w:rFonts w:ascii="Times New Roman" w:cs="Times New Roman" w:eastAsia="Times New Roman" w:hAnsi="Times New Roman"/>
          <w:sz w:val="18"/>
          <w:szCs w:val="18"/>
          <w:color w:val="auto"/>
        </w:rPr>
      </w:pPr>
    </w:p>
    <w:p>
      <w:pPr>
        <w:jc w:val="both"/>
        <w:ind w:left="1020" w:right="120" w:hanging="515"/>
        <w:spacing w:after="0" w:line="289"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our common stock and the applicable conversion rate on each such trading day;</w:t>
      </w:r>
    </w:p>
    <w:p>
      <w:pPr>
        <w:spacing w:after="0" w:line="49" w:lineRule="exact"/>
        <w:rPr>
          <w:rFonts w:ascii="Times New Roman" w:cs="Times New Roman" w:eastAsia="Times New Roman" w:hAnsi="Times New Roman"/>
          <w:sz w:val="17"/>
          <w:szCs w:val="17"/>
          <w:color w:val="auto"/>
        </w:rPr>
      </w:pPr>
    </w:p>
    <w:p>
      <w:pPr>
        <w:ind w:left="1020" w:right="320" w:hanging="515"/>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specified in the Convertible Notes Indenture.</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or after March 1, 2030, until the close of business on the second scheduled trading day immediately preceding the maturity date, noteholders may convert all or any portion of their Convertible Notes at any time.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undergo a fundamental change (as defined in the Convertible Notes Indenture) prior to the maturity date of the Convertible Notes, holders may require us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7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Convertible Notes Indenture contains customary terms and covenants, including that upon certain events of default that are occurring and continuing, either the Convertible Notes Trustee or the holders of at least 25% in aggregate principal amount of the outstanding Convertible Notes may declare 100% of the principal of, and accrued and unpaid interest, if any, on, all the Convertible Notes to be due and payable.</w:t>
      </w:r>
    </w:p>
    <w:p>
      <w:pPr>
        <w:spacing w:after="0" w:line="5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Sale Price Condition for the Convertible Notes was met during the calendar quarter ended March 31, 2026, and as a result, the Convertible Notes are convertible, in whole or in part, at the option of the holders thereof at any time during the calendar quarter ending June 30, 2026 and have been classified as short-term debt, net of issuance costs, on the condensed consolidated balance sheet as of March 31, 2026. The Convertible Notes were issued at par and costs associated with the issuance of the Convertible Notes are amortized to interest expense over the contractual term of the Convertible Notes. There were no conversions of the Convertible Notes in the calendar quarter ended March 31, 2026 or the year ended December 31, 2025. As of March 31, 2026, the effective interest rate of the Convertible Notes was 1.56%.</w:t>
      </w:r>
    </w:p>
    <w:p>
      <w:pPr>
        <w:spacing w:after="0" w:line="1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0" w:name="page41"/>
    <w:bookmarkEnd w:id="40"/>
    <w:p>
      <w:pPr>
        <w:ind w:left="760"/>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left="760" w:right="80"/>
        <w:spacing w:after="0" w:line="254" w:lineRule="auto"/>
        <w:rPr>
          <w:sz w:val="20"/>
          <w:szCs w:val="20"/>
          <w:color w:val="auto"/>
        </w:rPr>
      </w:pPr>
      <w:r>
        <w:rPr>
          <w:rFonts w:ascii="Times New Roman" w:cs="Times New Roman" w:eastAsia="Times New Roman" w:hAnsi="Times New Roman"/>
          <w:sz w:val="18"/>
          <w:szCs w:val="18"/>
          <w:color w:val="auto"/>
        </w:rPr>
        <w:t>On May 13, 2024, in connection with the pricing of the Convertible Notes, and on May 14, 2024, in connection with the exercise in full by the initial purchasers of their option to purchase additional Convertible Notes, we entered into privately negotiated capped call transactions (“Convertible Debt Capped Calls”) with certain of the initial purchasers of the Convertible Notes or their respective affiliates and other financial institutions. The Convertible Debt Capped Calls are expected generally to reduce the potential dilution to our common stock upon conversion of any Convertible Notes and/or offset any cash payments that we are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our common stock on The Nasdaq Global Select Market on May 13, 2024, and is subject to customary adjustments under the terms of the Convertible Debt Capped Calls.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2034 Notes</w:t>
      </w:r>
    </w:p>
    <w:p>
      <w:pPr>
        <w:spacing w:after="0" w:line="225"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8"/>
          <w:szCs w:val="18"/>
          <w:color w:val="auto"/>
        </w:rPr>
        <w:t>On February 4, 2026, we completed a private offering (the “2034 Notes Offering”) of €1.0 billion aggregate principal amount of senior notes due 2034 (the “2034 Notes”). The 2034 Notes were sold in a private placement to persons reasonably believed to be qualified institutional buyers in reliance on Rule 144A under the Securities Act of 1933, as amended (the “Securities Act”), and to non-U.S. persons outside the United States in reliance on Regulation S under the Securities Act. We used the net proceeds from the 2034 Notes Offering, together with cash on hand, to prepay approximately $1.3 billion of the USD Tranche B.</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2034 Notes Indenture and the 2034 Notes</w:t>
      </w:r>
    </w:p>
    <w:p>
      <w:pPr>
        <w:spacing w:after="0" w:line="119" w:lineRule="exact"/>
        <w:rPr>
          <w:sz w:val="20"/>
          <w:szCs w:val="20"/>
          <w:color w:val="auto"/>
        </w:rPr>
      </w:pPr>
    </w:p>
    <w:p>
      <w:pPr>
        <w:ind w:left="760" w:right="120"/>
        <w:spacing w:after="0" w:line="282" w:lineRule="auto"/>
        <w:rPr>
          <w:sz w:val="20"/>
          <w:szCs w:val="20"/>
          <w:color w:val="auto"/>
        </w:rPr>
      </w:pPr>
      <w:r>
        <w:rPr>
          <w:rFonts w:ascii="Times New Roman" w:cs="Times New Roman" w:eastAsia="Times New Roman" w:hAnsi="Times New Roman"/>
          <w:sz w:val="18"/>
          <w:szCs w:val="18"/>
          <w:color w:val="auto"/>
        </w:rPr>
        <w:t>On February 4, 2026, we and the Guarantors (as defined below) entered into an indenture (the “2034 Notes Indenture”) with respect to the 2034 Notes with U.S. Bank Trust Company, National Association, as trustee (the “2034 Notes Trustee”).</w:t>
      </w:r>
    </w:p>
    <w:p>
      <w:pPr>
        <w:spacing w:after="0" w:line="54" w:lineRule="exact"/>
        <w:rPr>
          <w:sz w:val="20"/>
          <w:szCs w:val="20"/>
          <w:color w:val="auto"/>
        </w:rPr>
      </w:pPr>
    </w:p>
    <w:p>
      <w:pPr>
        <w:ind w:left="760" w:right="300"/>
        <w:spacing w:after="0" w:line="266" w:lineRule="auto"/>
        <w:rPr>
          <w:sz w:val="20"/>
          <w:szCs w:val="20"/>
          <w:color w:val="auto"/>
        </w:rPr>
      </w:pPr>
      <w:r>
        <w:rPr>
          <w:rFonts w:ascii="Times New Roman" w:cs="Times New Roman" w:eastAsia="Times New Roman" w:hAnsi="Times New Roman"/>
          <w:sz w:val="18"/>
          <w:szCs w:val="18"/>
          <w:color w:val="auto"/>
        </w:rPr>
        <w:t>Under the 2034 Notes Indenture, the 2034 Notes bear interest at a rate of 4.250% per annum, with interest payable semiannually in arrears on February 15 and August 15 of each year, beginning on August 15, 2026. The 2034 Notes will mature on February 15, 2034, unless earlier redeemed or repurchased in accordance with their terms.</w:t>
      </w:r>
    </w:p>
    <w:p>
      <w:pPr>
        <w:spacing w:after="0" w:line="68" w:lineRule="exact"/>
        <w:rPr>
          <w:sz w:val="20"/>
          <w:szCs w:val="20"/>
          <w:color w:val="auto"/>
        </w:rPr>
      </w:pPr>
    </w:p>
    <w:p>
      <w:pPr>
        <w:ind w:left="760" w:right="280"/>
        <w:spacing w:after="0" w:line="266" w:lineRule="auto"/>
        <w:rPr>
          <w:sz w:val="20"/>
          <w:szCs w:val="20"/>
          <w:color w:val="auto"/>
        </w:rPr>
      </w:pPr>
      <w:r>
        <w:rPr>
          <w:rFonts w:ascii="Times New Roman" w:cs="Times New Roman" w:eastAsia="Times New Roman" w:hAnsi="Times New Roman"/>
          <w:sz w:val="18"/>
          <w:szCs w:val="18"/>
          <w:color w:val="auto"/>
        </w:rPr>
        <w:t>The 2034 Notes are unconditionally guaranteed, on a senior unsecured basis, jointly and severally, by our existing and future subsidiaries that guarantee the Credit Agreement or are required to become guarantors under certain circumstances and subject to certain exceptions (the “Guarantors”).</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2034 Notes and the guarantees are general senior unsecured obligations of us and the Guarantors. The 2034 Notes and guarantees will be:</w:t>
      </w:r>
    </w:p>
    <w:p>
      <w:pPr>
        <w:spacing w:after="0" w:line="115" w:lineRule="exact"/>
        <w:rPr>
          <w:sz w:val="20"/>
          <w:szCs w:val="20"/>
          <w:color w:val="auto"/>
        </w:rPr>
      </w:pPr>
    </w:p>
    <w:p>
      <w:pPr>
        <w:ind w:left="1780" w:right="80" w:hanging="515"/>
        <w:spacing w:after="0" w:line="284"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of our and the Guarantors’ existing and future unsubordinated indebtedness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w:t>
      </w:r>
    </w:p>
    <w:p>
      <w:pPr>
        <w:spacing w:after="0" w:line="52" w:lineRule="exact"/>
        <w:rPr>
          <w:rFonts w:ascii="Times New Roman" w:cs="Times New Roman" w:eastAsia="Times New Roman" w:hAnsi="Times New Roman"/>
          <w:sz w:val="18"/>
          <w:szCs w:val="18"/>
          <w:color w:val="auto"/>
        </w:rPr>
      </w:pPr>
    </w:p>
    <w:p>
      <w:pPr>
        <w:ind w:left="1780" w:right="180" w:hanging="515"/>
        <w:spacing w:after="0" w:line="282"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our and the Guarantors’ existing and future secured indebtedness (including the Credit Agreement)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and the Guarantors’ future subordinated indebtedness;</w:t>
      </w:r>
    </w:p>
    <w:p>
      <w:pPr>
        <w:spacing w:after="0" w:line="117" w:lineRule="exact"/>
        <w:rPr>
          <w:rFonts w:ascii="Times New Roman" w:cs="Times New Roman" w:eastAsia="Times New Roman" w:hAnsi="Times New Roman"/>
          <w:sz w:val="18"/>
          <w:szCs w:val="18"/>
          <w:color w:val="auto"/>
        </w:rPr>
      </w:pPr>
    </w:p>
    <w:p>
      <w:pPr>
        <w:ind w:left="1780" w:right="40" w:hanging="515"/>
        <w:spacing w:after="0" w:line="282"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any existing and future indebtedness of us that is not guaranteed by the Guarantors (including the Convertible Notes); and</w:t>
      </w:r>
    </w:p>
    <w:p>
      <w:pPr>
        <w:spacing w:after="0" w:line="53" w:lineRule="exact"/>
        <w:rPr>
          <w:rFonts w:ascii="Times New Roman" w:cs="Times New Roman" w:eastAsia="Times New Roman" w:hAnsi="Times New Roman"/>
          <w:sz w:val="18"/>
          <w:szCs w:val="18"/>
          <w:color w:val="auto"/>
        </w:rPr>
      </w:pPr>
    </w:p>
    <w:p>
      <w:pPr>
        <w:ind w:left="1780" w:right="220" w:hanging="515"/>
        <w:spacing w:after="0" w:line="282" w:lineRule="auto"/>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any existing and future indebtedness and other liabilities of our and the Guarantors’ subsidiaries that are not and do not become Guarantors.</w:t>
      </w:r>
    </w:p>
    <w:p>
      <w:pPr>
        <w:spacing w:after="0" w:line="54"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At any time prior to February 15, 2029, we may redeem the 2034 Notes in whole or in part at a redemption price equal to 100% of their principal amount, plus a make-whole premium, plus accrued and unpaid interest, if any, and additional amounts, if any, to, but excluding, the redemption date.</w:t>
      </w:r>
    </w:p>
    <w:p>
      <w:pPr>
        <w:spacing w:after="0" w:line="68" w:lineRule="exact"/>
        <w:rPr>
          <w:sz w:val="20"/>
          <w:szCs w:val="20"/>
          <w:color w:val="auto"/>
        </w:rPr>
      </w:pPr>
    </w:p>
    <w:p>
      <w:pPr>
        <w:ind w:left="760" w:right="100"/>
        <w:spacing w:after="0" w:line="289" w:lineRule="auto"/>
        <w:rPr>
          <w:sz w:val="20"/>
          <w:szCs w:val="20"/>
          <w:color w:val="auto"/>
        </w:rPr>
      </w:pPr>
      <w:r>
        <w:rPr>
          <w:rFonts w:ascii="Times New Roman" w:cs="Times New Roman" w:eastAsia="Times New Roman" w:hAnsi="Times New Roman"/>
          <w:sz w:val="17"/>
          <w:szCs w:val="17"/>
          <w:color w:val="auto"/>
        </w:rPr>
        <w:t>At any time and from time to time on or after February 15, 2029, we may redeem for cash all or any portion of the 2034 Notes at a redemption price equal to the percentage of principal amount set forth below, plus accrued and unpaid interest, if any, and additional amounts, if any, to, but excluding, the applicable redemption date, if redeemed during the twelve-month period beginning on February 15 of the year indicated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6920" w:type="dxa"/>
            <w:vAlign w:val="bottom"/>
          </w:tcPr>
          <w:p>
            <w:pPr>
              <w:spacing w:after="0"/>
              <w:rPr>
                <w:sz w:val="20"/>
                <w:szCs w:val="20"/>
                <w:color w:val="auto"/>
              </w:rPr>
            </w:pPr>
          </w:p>
        </w:tc>
        <w:tc>
          <w:tcPr>
            <w:tcW w:w="18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Percentage</w:t>
            </w:r>
          </w:p>
        </w:tc>
      </w:tr>
      <w:tr>
        <w:trPr>
          <w:trHeight w:val="210"/>
        </w:trPr>
        <w:tc>
          <w:tcPr>
            <w:tcW w:w="800" w:type="dxa"/>
            <w:vAlign w:val="bottom"/>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102.125%</w:t>
            </w:r>
          </w:p>
        </w:tc>
      </w:tr>
      <w:tr>
        <w:trPr>
          <w:trHeight w:val="216"/>
        </w:trPr>
        <w:tc>
          <w:tcPr>
            <w:tcW w:w="8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740" w:type="dxa"/>
            <w:vAlign w:val="bottom"/>
            <w:gridSpan w:val="2"/>
          </w:tcPr>
          <w:p>
            <w:pPr>
              <w:ind w:left="6920"/>
              <w:spacing w:after="0"/>
              <w:rPr>
                <w:sz w:val="20"/>
                <w:szCs w:val="20"/>
                <w:color w:val="auto"/>
              </w:rPr>
            </w:pPr>
            <w:r>
              <w:rPr>
                <w:rFonts w:ascii="Times New Roman" w:cs="Times New Roman" w:eastAsia="Times New Roman" w:hAnsi="Times New Roman"/>
                <w:sz w:val="18"/>
                <w:szCs w:val="18"/>
                <w:color w:val="auto"/>
              </w:rPr>
              <w:t>101.0625%</w:t>
            </w:r>
          </w:p>
        </w:tc>
      </w:tr>
      <w:tr>
        <w:trPr>
          <w:trHeight w:val="216"/>
        </w:trPr>
        <w:tc>
          <w:tcPr>
            <w:tcW w:w="800" w:type="dxa"/>
            <w:vAlign w:val="bottom"/>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100.000%</w:t>
            </w:r>
          </w:p>
        </w:tc>
      </w:tr>
      <w:tr>
        <w:trPr>
          <w:trHeight w:val="608"/>
        </w:trPr>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2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41</w:t>
            </w:r>
          </w:p>
        </w:tc>
        <w:tc>
          <w:tcPr>
            <w:tcW w:w="182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1" w:name="page42"/>
    <w:bookmarkEnd w:id="41"/>
    <w:p>
      <w:pPr>
        <w:ind w:right="10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prior to February 15, 2029, we may redeem up to 40% of the original aggregate principal amount of the 2034 Notes using the net cash proceeds of certain equity offerings at a redemption price equal to 104.250%.</w:t>
      </w:r>
    </w:p>
    <w:p>
      <w:pPr>
        <w:spacing w:after="0" w:line="54"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In the event of certain developments affecting taxation, we may elect to redeem all, but not less than all, of the 2034 Notes at 100% of their principal amount, plus accrued and unpaid interest, if any, and additional amounts, if any, to, but excluding, the date fixed for redemption.</w:t>
      </w:r>
    </w:p>
    <w:p>
      <w:pPr>
        <w:spacing w:after="0" w:line="3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2034 Notes Indenture), each holder of the 2034 Notes may require us to repurchase all or a portion of their 2034 Notes at a price equal to 101% of their principal amount plus accrued and unpaid interest, if any, and additional amounts, if any, to, but excluding, the repurchase date.</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2034 Notes Indenture contains customary terms and covenants that limit the ability of us and our Restricted Subsidiaries (as defined in the 2034 Notes Indenture) to, among other things, (i) incur liens, (ii) provide guarantees and (iii) consolidate, merge or sell or otherwise dispose of substantially all their assets.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2034 Notes Indenture also provides for customary events of default. Upon certain events of default that are occurring and continuing, either the 2034 Notes Trustee or the holders of at least 30% in aggregate principal amount of the outstanding 2034 Notes may declare the principal of, and accrued and unpaid interest, if any, and additional amounts, if any, on, all the 2034 Notes to be due and payable. In the event of certain insolvency and bankruptcy related events of default specified in the 2034 Notes Indenture, the principal of, and accrued and unpaid interest, if any, and additional amounts, if any, on, all the 2034 Notes shall automatically become due and payable.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effective interest rate of the 2034 Notes was 4.48%.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 and Borrowing Arrangements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of 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of up to an equivalent of $13 million as of both March 31, 2026 and December 31, 2025. There were no borrowings outstanding under these arrangements at March 31, 2026 and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enter into derivative instruments for risk management purposes only, including derivatives designated as hedging instruments and those utilized as economic hedges. We operate internationally, and in the normal course of business, are exposed to fluctuations in interest rates and foreign exchange rates. These fluctuations can increase the costs of financing, investing and operating the business. We have used derivative instruments, such as foreign exchange forward contracts, options, and net investment hedges, to manage certain foreign currency exposure, and interest rate swaps and caps to manage certain interest rate exposure. We do not enter into derivative instruments for trading or speculative purposes.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By nature, all financial instruments involve market and credit risks. We enter into derivative instruments with major investment grade financial institutions and no collateral is required. We have policies to monitor the credit risk of these counterparties. While there can be no assurance, we do not anticipate any material non-performance by any of these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interest rate swap agreements described further in Note 5 of the condensed consolidated financial statements. These interest rate swap agreements exchange the variable Term SOFR rate to a fixed rate in order to manage the exposure to interest rate fluctuations associated with the variable Term SOFR rate paid on the outstanding balance of the Term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center"/>
        <w:ind w:right="240"/>
        <w:spacing w:after="0" w:line="485"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as disclosed in our Annual Report.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333375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see Note 2 to the Notes to Unaudited Condensed Consolidated Financial Statements included in Part I, Item 1, “Notes to Unaudited Condensed Consolidated Financial Statements” of this Quarterly Report on Form 10-Q.</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080" w:top="1197"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Information concerning market risk is contained in the section entitled “Quantitative and Qualitative Disclosures About Market Risk” contained in our Annual Report on Form 10-K for the year ended December 31, 2025 filed with the U.S. Securities and Exchange Commission on February 24, 2026. As of March 31, 2026, there were no material changes in our exposure to market risk from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760" w:right="20"/>
        <w:spacing w:after="0" w:line="26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March 31, 2026, our disclosure controls and procedures were effective to provide reasonable assurance that information required to be disclosed by us in reports that we file or submit under the Exchange Act is recorded, processed, summarized and reported within the time periods specified in U.S.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the quarter ended March 31, 2026 that has materially affected, or is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212529"/>
        </w:rPr>
        <w:t xml:space="preserve">Information regarding risk factors affecting our business is discussed in the section entitled “Risk Factors” in our Annual Report </w:t>
      </w:r>
      <w:r>
        <w:rPr>
          <w:rFonts w:ascii="Times New Roman" w:cs="Times New Roman" w:eastAsia="Times New Roman" w:hAnsi="Times New Roman"/>
          <w:sz w:val="18"/>
          <w:szCs w:val="18"/>
          <w:color w:val="000000"/>
        </w:rPr>
        <w:t>on Form 10-K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 the year ended December 31, 2025 filed with the U.S. Securities and Exchange Commission on February 24, 2026.</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212529"/>
        </w:rPr>
        <w:t>The following table describes, for the quarterly period covered by this report, each trading arrangement for the sale or purchase of Company securities adopted or terminated by our directors and officers (as defined in Rule 16a-1(f) under the Exchange Act)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175" w:lineRule="exact"/>
        <w:rPr>
          <w:sz w:val="20"/>
          <w:szCs w:val="20"/>
          <w:color w:val="auto"/>
        </w:rPr>
      </w:pPr>
    </w:p>
    <w:tbl>
      <w:tblPr>
        <w:tblLayout w:type="fixed"/>
        <w:tblInd w:w="810" w:type="dxa"/>
        <w:tblCellMar>
          <w:top w:w="0" w:type="dxa"/>
          <w:left w:w="0" w:type="dxa"/>
          <w:bottom w:w="0" w:type="dxa"/>
          <w:right w:w="0" w:type="dxa"/>
        </w:tblCellMar>
      </w:tblPr>
      <w:tr>
        <w:trPr>
          <w:trHeight w:val="143"/>
        </w:trPr>
        <w:tc>
          <w:tcPr>
            <w:tcW w:w="1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Name (Title)</w:t>
            </w:r>
          </w:p>
        </w:tc>
        <w:tc>
          <w:tcPr>
            <w:tcW w:w="1400" w:type="dxa"/>
            <w:vAlign w:val="bottom"/>
            <w:tcBorders>
              <w:top w:val="single" w:sz="8" w:color="auto"/>
              <w:right w:val="single" w:sz="8" w:color="auto"/>
            </w:tcBorders>
          </w:tcPr>
          <w:p>
            <w:pPr>
              <w:jc w:val="center"/>
              <w:ind w:right="31"/>
              <w:spacing w:after="0" w:line="143" w:lineRule="exact"/>
              <w:rPr>
                <w:sz w:val="20"/>
                <w:szCs w:val="20"/>
                <w:color w:val="auto"/>
              </w:rPr>
            </w:pPr>
            <w:r>
              <w:rPr>
                <w:rFonts w:ascii="Times New Roman" w:cs="Times New Roman" w:eastAsia="Times New Roman" w:hAnsi="Times New Roman"/>
                <w:sz w:val="14"/>
                <w:szCs w:val="14"/>
                <w:color w:val="auto"/>
              </w:rPr>
              <w:t>Action Taken (Date of</w:t>
            </w:r>
          </w:p>
        </w:tc>
        <w:tc>
          <w:tcPr>
            <w:tcW w:w="144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Type of Trading</w:t>
            </w:r>
          </w:p>
        </w:tc>
        <w:tc>
          <w:tcPr>
            <w:tcW w:w="1440" w:type="dxa"/>
            <w:vAlign w:val="bottom"/>
            <w:tcBorders>
              <w:top w:val="single" w:sz="8" w:color="auto"/>
              <w:right w:val="single" w:sz="8" w:color="auto"/>
            </w:tcBorders>
          </w:tcPr>
          <w:p>
            <w:pPr>
              <w:ind w:left="160"/>
              <w:spacing w:after="0" w:line="143" w:lineRule="exact"/>
              <w:rPr>
                <w:sz w:val="20"/>
                <w:szCs w:val="20"/>
                <w:color w:val="auto"/>
              </w:rPr>
            </w:pPr>
            <w:r>
              <w:rPr>
                <w:rFonts w:ascii="Times New Roman" w:cs="Times New Roman" w:eastAsia="Times New Roman" w:hAnsi="Times New Roman"/>
                <w:sz w:val="14"/>
                <w:szCs w:val="14"/>
                <w:color w:val="auto"/>
              </w:rPr>
              <w:t>Nature of Trading</w:t>
            </w:r>
          </w:p>
        </w:tc>
        <w:tc>
          <w:tcPr>
            <w:tcW w:w="324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color w:val="auto"/>
              </w:rPr>
              <w:t>Duration of Trading Arrangement</w:t>
            </w:r>
          </w:p>
        </w:tc>
        <w:tc>
          <w:tcPr>
            <w:tcW w:w="1440" w:type="dxa"/>
            <w:vAlign w:val="bottom"/>
            <w:tcBorders>
              <w:top w:val="single" w:sz="8" w:color="auto"/>
              <w:right w:val="single" w:sz="8" w:color="auto"/>
            </w:tcBorders>
          </w:tcPr>
          <w:p>
            <w:pPr>
              <w:ind w:left="60"/>
              <w:spacing w:after="0" w:line="143" w:lineRule="exact"/>
              <w:rPr>
                <w:sz w:val="20"/>
                <w:szCs w:val="20"/>
                <w:color w:val="auto"/>
              </w:rPr>
            </w:pPr>
            <w:r>
              <w:rPr>
                <w:rFonts w:ascii="Times New Roman" w:cs="Times New Roman" w:eastAsia="Times New Roman" w:hAnsi="Times New Roman"/>
                <w:sz w:val="14"/>
                <w:szCs w:val="14"/>
                <w:color w:val="auto"/>
              </w:rPr>
              <w:t>Aggregate Number of</w:t>
            </w: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Action)</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32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61"/>
        </w:trPr>
        <w:tc>
          <w:tcPr>
            <w:tcW w:w="1480" w:type="dxa"/>
            <w:vAlign w:val="bottom"/>
            <w:tcBorders>
              <w:left w:val="single" w:sz="8" w:color="auto"/>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vMerge w:val="continue"/>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480" w:type="dxa"/>
            <w:vAlign w:val="bottom"/>
            <w:tcBorders>
              <w:left w:val="single" w:sz="8" w:color="auto"/>
              <w:right w:val="single" w:sz="8" w:color="auto"/>
            </w:tcBorders>
            <w:shd w:val="clear" w:color="auto" w:fill="CFF0FC"/>
          </w:tcPr>
          <w:p>
            <w:pPr>
              <w:jc w:val="center"/>
              <w:ind w:right="10"/>
              <w:spacing w:after="0" w:line="123" w:lineRule="exact"/>
              <w:rPr>
                <w:sz w:val="20"/>
                <w:szCs w:val="20"/>
                <w:color w:val="auto"/>
              </w:rPr>
            </w:pPr>
            <w:r>
              <w:rPr>
                <w:rFonts w:ascii="Times New Roman" w:cs="Times New Roman" w:eastAsia="Times New Roman" w:hAnsi="Times New Roman"/>
                <w:sz w:val="14"/>
                <w:szCs w:val="14"/>
                <w:color w:val="auto"/>
              </w:rPr>
              <w:t>Gerald G.</w:t>
            </w:r>
          </w:p>
        </w:tc>
        <w:tc>
          <w:tcPr>
            <w:tcW w:w="14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Adoption (February 24,</w:t>
            </w:r>
          </w:p>
        </w:tc>
        <w:tc>
          <w:tcPr>
            <w:tcW w:w="1440" w:type="dxa"/>
            <w:vAlign w:val="bottom"/>
            <w:tcBorders>
              <w:right w:val="single" w:sz="8" w:color="auto"/>
            </w:tcBorders>
            <w:vMerge w:val="restart"/>
            <w:shd w:val="clear" w:color="auto" w:fill="CFF0FC"/>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Until May 26, 2027, or such earlier date upon which all</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Up to 20,000 shares</w:t>
            </w:r>
          </w:p>
        </w:tc>
        <w:tc>
          <w:tcPr>
            <w:tcW w:w="0" w:type="dxa"/>
            <w:vAlign w:val="bottom"/>
          </w:tcPr>
          <w:p>
            <w:pPr>
              <w:spacing w:after="0"/>
              <w:rPr>
                <w:sz w:val="1"/>
                <w:szCs w:val="1"/>
                <w:color w:val="auto"/>
              </w:rPr>
            </w:pPr>
          </w:p>
        </w:tc>
      </w:tr>
      <w:tr>
        <w:trPr>
          <w:trHeight w:val="144"/>
        </w:trPr>
        <w:tc>
          <w:tcPr>
            <w:tcW w:w="1480" w:type="dxa"/>
            <w:vAlign w:val="bottom"/>
            <w:tcBorders>
              <w:left w:val="single" w:sz="8" w:color="auto"/>
              <w:right w:val="single" w:sz="8" w:color="auto"/>
            </w:tcBorders>
            <w:shd w:val="clear" w:color="auto" w:fill="CFF0FC"/>
          </w:tcPr>
          <w:p>
            <w:pPr>
              <w:jc w:val="center"/>
              <w:spacing w:after="0" w:line="145" w:lineRule="exact"/>
              <w:rPr>
                <w:sz w:val="20"/>
                <w:szCs w:val="20"/>
                <w:color w:val="auto"/>
              </w:rPr>
            </w:pPr>
            <w:r>
              <w:rPr>
                <w:rFonts w:ascii="Times New Roman" w:cs="Times New Roman" w:eastAsia="Times New Roman" w:hAnsi="Times New Roman"/>
                <w:sz w:val="14"/>
                <w:szCs w:val="14"/>
                <w:color w:val="auto"/>
              </w:rPr>
              <w:t>Colella (Chairman of</w:t>
            </w:r>
          </w:p>
        </w:tc>
        <w:tc>
          <w:tcPr>
            <w:tcW w:w="140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324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bottom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the Board of Directors)</w:t>
            </w:r>
          </w:p>
        </w:tc>
        <w:tc>
          <w:tcPr>
            <w:tcW w:w="1400" w:type="dxa"/>
            <w:vAlign w:val="bottom"/>
            <w:tcBorders>
              <w:bottom w:val="single" w:sz="8" w:color="CFF0FC"/>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bottom w:val="single" w:sz="8" w:color="CFF0FC"/>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bottom w:val="single" w:sz="8" w:color="CFF0FC"/>
              <w:right w:val="single" w:sz="8" w:color="auto"/>
            </w:tcBorders>
            <w:shd w:val="clear" w:color="auto" w:fill="CFF0FC"/>
          </w:tcPr>
          <w:p>
            <w:pPr>
              <w:spacing w:after="0"/>
              <w:rPr>
                <w:sz w:val="15"/>
                <w:szCs w:val="15"/>
                <w:color w:val="auto"/>
              </w:rPr>
            </w:pPr>
          </w:p>
        </w:tc>
        <w:tc>
          <w:tcPr>
            <w:tcW w:w="3240" w:type="dxa"/>
            <w:vAlign w:val="bottom"/>
            <w:tcBorders>
              <w:bottom w:val="single" w:sz="8" w:color="CFF0FC"/>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transactions are completed or expire without execution</w:t>
            </w:r>
          </w:p>
        </w:tc>
        <w:tc>
          <w:tcPr>
            <w:tcW w:w="1440" w:type="dxa"/>
            <w:vAlign w:val="bottom"/>
            <w:tcBorders>
              <w:bottom w:val="single" w:sz="8" w:color="CFF0FC"/>
              <w:right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480" w:type="dxa"/>
            <w:vAlign w:val="bottom"/>
            <w:tcBorders>
              <w:top w:val="single" w:sz="8" w:color="auto"/>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David P. Henry</w:t>
            </w:r>
          </w:p>
        </w:tc>
        <w:tc>
          <w:tcPr>
            <w:tcW w:w="1400" w:type="dxa"/>
            <w:vAlign w:val="bottom"/>
            <w:tcBorders>
              <w:top w:val="single" w:sz="8" w:color="auto"/>
              <w:right w:val="single" w:sz="8" w:color="auto"/>
            </w:tcBorders>
          </w:tcPr>
          <w:p>
            <w:pPr>
              <w:spacing w:after="0"/>
              <w:rPr>
                <w:sz w:val="10"/>
                <w:szCs w:val="10"/>
                <w:color w:val="auto"/>
              </w:rPr>
            </w:pPr>
          </w:p>
        </w:tc>
        <w:tc>
          <w:tcPr>
            <w:tcW w:w="1440" w:type="dxa"/>
            <w:vAlign w:val="bottom"/>
            <w:tcBorders>
              <w:top w:val="single" w:sz="8" w:color="auto"/>
              <w:right w:val="single" w:sz="8" w:color="auto"/>
            </w:tcBorders>
          </w:tcPr>
          <w:p>
            <w:pPr>
              <w:spacing w:after="0"/>
              <w:rPr>
                <w:sz w:val="10"/>
                <w:szCs w:val="10"/>
                <w:color w:val="auto"/>
              </w:rPr>
            </w:pPr>
          </w:p>
        </w:tc>
        <w:tc>
          <w:tcPr>
            <w:tcW w:w="1440" w:type="dxa"/>
            <w:vAlign w:val="bottom"/>
            <w:tcBorders>
              <w:top w:val="single" w:sz="8" w:color="auto"/>
              <w:right w:val="single" w:sz="8" w:color="auto"/>
            </w:tcBorders>
          </w:tcPr>
          <w:p>
            <w:pPr>
              <w:spacing w:after="0"/>
              <w:rPr>
                <w:sz w:val="10"/>
                <w:szCs w:val="10"/>
                <w:color w:val="auto"/>
              </w:rPr>
            </w:pPr>
          </w:p>
        </w:tc>
        <w:tc>
          <w:tcPr>
            <w:tcW w:w="3240" w:type="dxa"/>
            <w:vAlign w:val="bottom"/>
            <w:tcBorders>
              <w:top w:val="single" w:sz="8" w:color="auto"/>
              <w:right w:val="single" w:sz="8" w:color="auto"/>
            </w:tcBorders>
          </w:tcPr>
          <w:p>
            <w:pPr>
              <w:spacing w:after="0"/>
              <w:rPr>
                <w:sz w:val="10"/>
                <w:szCs w:val="10"/>
                <w:color w:val="auto"/>
              </w:rPr>
            </w:pPr>
          </w:p>
        </w:tc>
        <w:tc>
          <w:tcPr>
            <w:tcW w:w="14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14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324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Until February 26, 2027, or such earlier date upon</w:t>
            </w: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President, Global</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Adoption (February 24,</w:t>
            </w:r>
          </w:p>
        </w:tc>
        <w:tc>
          <w:tcPr>
            <w:tcW w:w="144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tcPr>
          <w:p>
            <w:pPr>
              <w:spacing w:after="0"/>
              <w:rPr>
                <w:sz w:val="12"/>
                <w:szCs w:val="12"/>
                <w:color w:val="auto"/>
              </w:rPr>
            </w:pPr>
          </w:p>
        </w:tc>
        <w:tc>
          <w:tcPr>
            <w:tcW w:w="32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Strategic Marketing,</w:t>
            </w:r>
          </w:p>
        </w:tc>
        <w:tc>
          <w:tcPr>
            <w:tcW w:w="140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which all transactions are completed or expire without</w:t>
            </w: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Up to 2,500 shares</w:t>
            </w: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continue"/>
          </w:tcPr>
          <w:p>
            <w:pPr>
              <w:spacing w:after="0"/>
              <w:rPr>
                <w:sz w:val="7"/>
                <w:szCs w:val="7"/>
                <w:color w:val="auto"/>
              </w:rPr>
            </w:pPr>
          </w:p>
        </w:tc>
        <w:tc>
          <w:tcPr>
            <w:tcW w:w="324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restart"/>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and General Manager,</w:t>
            </w:r>
          </w:p>
        </w:tc>
        <w:tc>
          <w:tcPr>
            <w:tcW w:w="14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auto"/>
              <w:right w:val="single" w:sz="8" w:color="auto"/>
            </w:tcBorders>
            <w:vMerge w:val="continue"/>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3240" w:type="dxa"/>
            <w:vAlign w:val="bottom"/>
            <w:tcBorders>
              <w:right w:val="single" w:sz="8" w:color="auto"/>
            </w:tcBorders>
            <w:vMerge w:val="continue"/>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Materials Solutions</w:t>
            </w:r>
          </w:p>
        </w:tc>
        <w:tc>
          <w:tcPr>
            <w:tcW w:w="140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324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Division)</w:t>
            </w:r>
          </w:p>
        </w:tc>
        <w:tc>
          <w:tcPr>
            <w:tcW w:w="14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2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auto"/>
              <w:right w:val="single" w:sz="8" w:color="auto"/>
            </w:tcBorders>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John T.C. Lee</w:t>
            </w:r>
          </w:p>
        </w:tc>
        <w:tc>
          <w:tcPr>
            <w:tcW w:w="140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3240" w:type="dxa"/>
            <w:vAlign w:val="bottom"/>
            <w:tcBorders>
              <w:right w:val="single" w:sz="8" w:color="auto"/>
            </w:tcBorders>
            <w:vMerge w:val="restart"/>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color w:val="auto"/>
              </w:rPr>
              <w:t>Until February 23, 2027, or such earlier date upon</w:t>
            </w:r>
          </w:p>
        </w:tc>
        <w:tc>
          <w:tcPr>
            <w:tcW w:w="144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(President and Chief</w:t>
            </w:r>
          </w:p>
        </w:tc>
        <w:tc>
          <w:tcPr>
            <w:tcW w:w="14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Adoption (February 20,</w:t>
            </w:r>
          </w:p>
        </w:tc>
        <w:tc>
          <w:tcPr>
            <w:tcW w:w="1440" w:type="dxa"/>
            <w:vAlign w:val="bottom"/>
            <w:tcBorders>
              <w:right w:val="single" w:sz="8" w:color="auto"/>
            </w:tcBorders>
            <w:vMerge w:val="restart"/>
            <w:shd w:val="clear" w:color="auto" w:fill="CFF0FC"/>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continue"/>
            <w:shd w:val="clear" w:color="auto" w:fill="CFF0FC"/>
          </w:tcPr>
          <w:p>
            <w:pPr>
              <w:spacing w:after="0"/>
              <w:rPr>
                <w:sz w:val="5"/>
                <w:szCs w:val="5"/>
                <w:color w:val="auto"/>
              </w:rPr>
            </w:pPr>
          </w:p>
        </w:tc>
        <w:tc>
          <w:tcPr>
            <w:tcW w:w="1440" w:type="dxa"/>
            <w:vAlign w:val="bottom"/>
            <w:tcBorders>
              <w:right w:val="single" w:sz="8" w:color="auto"/>
            </w:tcBorders>
            <w:vMerge w:val="restart"/>
            <w:shd w:val="clear" w:color="auto" w:fill="CFF0FC"/>
          </w:tcPr>
          <w:p>
            <w:pPr>
              <w:jc w:val="center"/>
              <w:spacing w:after="0" w:line="212" w:lineRule="exact"/>
              <w:rPr>
                <w:sz w:val="20"/>
                <w:szCs w:val="20"/>
                <w:color w:val="auto"/>
              </w:rPr>
            </w:pPr>
            <w:r>
              <w:rPr>
                <w:rFonts w:ascii="Times New Roman" w:cs="Times New Roman" w:eastAsia="Times New Roman" w:hAnsi="Times New Roman"/>
                <w:sz w:val="14"/>
                <w:szCs w:val="14"/>
                <w:color w:val="auto"/>
                <w:w w:val="99"/>
              </w:rPr>
              <w:t>Up to 40,000 shares</w:t>
            </w:r>
            <w:r>
              <w:rPr>
                <w:rFonts w:ascii="Times New Roman" w:cs="Times New Roman" w:eastAsia="Times New Roman" w:hAnsi="Times New Roman"/>
                <w:sz w:val="19"/>
                <w:szCs w:val="19"/>
                <w:color w:val="auto"/>
                <w:w w:val="99"/>
                <w:vertAlign w:val="superscript"/>
              </w:rPr>
              <w:t>(1)</w:t>
            </w:r>
          </w:p>
        </w:tc>
        <w:tc>
          <w:tcPr>
            <w:tcW w:w="0" w:type="dxa"/>
            <w:vAlign w:val="bottom"/>
          </w:tcPr>
          <w:p>
            <w:pPr>
              <w:spacing w:after="0"/>
              <w:rPr>
                <w:sz w:val="1"/>
                <w:szCs w:val="1"/>
                <w:color w:val="auto"/>
              </w:rPr>
            </w:pPr>
          </w:p>
        </w:tc>
      </w:tr>
      <w:tr>
        <w:trPr>
          <w:trHeight w:val="144"/>
        </w:trPr>
        <w:tc>
          <w:tcPr>
            <w:tcW w:w="1480" w:type="dxa"/>
            <w:vAlign w:val="bottom"/>
            <w:tcBorders>
              <w:left w:val="single" w:sz="8" w:color="auto"/>
              <w:right w:val="single" w:sz="8" w:color="auto"/>
            </w:tcBorders>
            <w:vMerge w:val="continue"/>
            <w:shd w:val="clear" w:color="auto" w:fill="CFF0FC"/>
          </w:tcPr>
          <w:p>
            <w:pPr>
              <w:spacing w:after="0"/>
              <w:rPr>
                <w:sz w:val="12"/>
                <w:szCs w:val="12"/>
                <w:color w:val="auto"/>
              </w:rPr>
            </w:pPr>
          </w:p>
        </w:tc>
        <w:tc>
          <w:tcPr>
            <w:tcW w:w="140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3240" w:type="dxa"/>
            <w:vAlign w:val="bottom"/>
            <w:tcBorders>
              <w:right w:val="single" w:sz="8" w:color="auto"/>
            </w:tcBorders>
            <w:shd w:val="clear" w:color="auto" w:fill="CFF0FC"/>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which all transactions are completed or expire without</w:t>
            </w: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480" w:type="dxa"/>
            <w:vAlign w:val="bottom"/>
            <w:tcBorders>
              <w:left w:val="single" w:sz="8" w:color="auto"/>
              <w:right w:val="single" w:sz="8" w:color="auto"/>
            </w:tcBorders>
            <w:shd w:val="clear" w:color="auto" w:fill="CFF0FC"/>
          </w:tcPr>
          <w:p>
            <w:pPr>
              <w:jc w:val="center"/>
              <w:ind w:right="10"/>
              <w:spacing w:after="0" w:line="85" w:lineRule="exact"/>
              <w:rPr>
                <w:sz w:val="20"/>
                <w:szCs w:val="20"/>
                <w:color w:val="auto"/>
              </w:rPr>
            </w:pPr>
            <w:r>
              <w:rPr>
                <w:rFonts w:ascii="Times New Roman" w:cs="Times New Roman" w:eastAsia="Times New Roman" w:hAnsi="Times New Roman"/>
                <w:sz w:val="9"/>
                <w:szCs w:val="9"/>
                <w:color w:val="auto"/>
              </w:rPr>
              <w:t>Executive Officer;</w:t>
            </w:r>
          </w:p>
        </w:tc>
        <w:tc>
          <w:tcPr>
            <w:tcW w:w="1400" w:type="dxa"/>
            <w:vAlign w:val="bottom"/>
            <w:tcBorders>
              <w:right w:val="single" w:sz="8" w:color="auto"/>
            </w:tcBorders>
            <w:shd w:val="clear" w:color="auto" w:fill="CFF0FC"/>
          </w:tcPr>
          <w:p>
            <w:pPr>
              <w:jc w:val="center"/>
              <w:spacing w:after="0" w:line="85" w:lineRule="exact"/>
              <w:rPr>
                <w:sz w:val="20"/>
                <w:szCs w:val="20"/>
                <w:color w:val="auto"/>
              </w:rPr>
            </w:pPr>
            <w:r>
              <w:rPr>
                <w:rFonts w:ascii="Times New Roman" w:cs="Times New Roman" w:eastAsia="Times New Roman" w:hAnsi="Times New Roman"/>
                <w:sz w:val="9"/>
                <w:szCs w:val="9"/>
                <w:color w:val="auto"/>
              </w:rPr>
              <w:t>2026)</w:t>
            </w:r>
          </w:p>
        </w:tc>
        <w:tc>
          <w:tcPr>
            <w:tcW w:w="1440" w:type="dxa"/>
            <w:vAlign w:val="bottom"/>
            <w:tcBorders>
              <w:right w:val="single" w:sz="8" w:color="auto"/>
            </w:tcBorders>
            <w:shd w:val="clear" w:color="auto" w:fill="CFF0FC"/>
          </w:tcPr>
          <w:p>
            <w:pPr>
              <w:jc w:val="center"/>
              <w:spacing w:after="0" w:line="85" w:lineRule="exact"/>
              <w:rPr>
                <w:sz w:val="20"/>
                <w:szCs w:val="20"/>
                <w:color w:val="auto"/>
              </w:rPr>
            </w:pPr>
            <w:r>
              <w:rPr>
                <w:rFonts w:ascii="Times New Roman" w:cs="Times New Roman" w:eastAsia="Times New Roman" w:hAnsi="Times New Roman"/>
                <w:sz w:val="9"/>
                <w:szCs w:val="9"/>
                <w:color w:val="auto"/>
              </w:rPr>
              <w:t>arrangement</w:t>
            </w:r>
          </w:p>
        </w:tc>
        <w:tc>
          <w:tcPr>
            <w:tcW w:w="1440" w:type="dxa"/>
            <w:vAlign w:val="bottom"/>
            <w:tcBorders>
              <w:right w:val="single" w:sz="8" w:color="auto"/>
            </w:tcBorders>
            <w:shd w:val="clear" w:color="auto" w:fill="CFF0FC"/>
          </w:tcPr>
          <w:p>
            <w:pPr>
              <w:spacing w:after="0"/>
              <w:rPr>
                <w:sz w:val="7"/>
                <w:szCs w:val="7"/>
                <w:color w:val="auto"/>
              </w:rPr>
            </w:pPr>
          </w:p>
        </w:tc>
        <w:tc>
          <w:tcPr>
            <w:tcW w:w="3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400" w:type="dxa"/>
            <w:vAlign w:val="bottom"/>
            <w:tcBorders>
              <w:right w:val="single" w:sz="8" w:color="auto"/>
            </w:tcBorders>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3240" w:type="dxa"/>
            <w:vAlign w:val="bottom"/>
            <w:tcBorders>
              <w:right w:val="single" w:sz="8" w:color="auto"/>
            </w:tcBorders>
            <w:vMerge w:val="continue"/>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80" w:type="dxa"/>
            <w:vAlign w:val="bottom"/>
            <w:tcBorders>
              <w:left w:val="single" w:sz="8" w:color="auto"/>
              <w:bottom w:val="single" w:sz="8" w:color="auto"/>
              <w:right w:val="single" w:sz="8" w:color="auto"/>
            </w:tcBorders>
            <w:vMerge w:val="continue"/>
            <w:shd w:val="clear" w:color="auto" w:fill="CFF0FC"/>
          </w:tcPr>
          <w:p>
            <w:pPr>
              <w:spacing w:after="0"/>
              <w:rPr>
                <w:sz w:val="5"/>
                <w:szCs w:val="5"/>
                <w:color w:val="auto"/>
              </w:rPr>
            </w:pPr>
          </w:p>
        </w:tc>
        <w:tc>
          <w:tcPr>
            <w:tcW w:w="1400" w:type="dxa"/>
            <w:vAlign w:val="bottom"/>
            <w:tcBorders>
              <w:bottom w:val="single" w:sz="8" w:color="auto"/>
              <w:right w:val="single" w:sz="8" w:color="auto"/>
            </w:tcBorders>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3240" w:type="dxa"/>
            <w:vAlign w:val="bottom"/>
            <w:tcBorders>
              <w:bottom w:val="single" w:sz="8" w:color="auto"/>
              <w:right w:val="single" w:sz="8" w:color="auto"/>
            </w:tcBorders>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Ramakumar</w:t>
            </w:r>
          </w:p>
        </w:tc>
        <w:tc>
          <w:tcPr>
            <w:tcW w:w="14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324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Until February 18, 2027, or such earlier date upon</w:t>
            </w: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Mayampurath</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Adoption (February 20,</w:t>
            </w:r>
          </w:p>
        </w:tc>
        <w:tc>
          <w:tcPr>
            <w:tcW w:w="144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tcPr>
          <w:p>
            <w:pPr>
              <w:spacing w:after="0"/>
              <w:rPr>
                <w:sz w:val="12"/>
                <w:szCs w:val="12"/>
                <w:color w:val="auto"/>
              </w:rPr>
            </w:pPr>
          </w:p>
        </w:tc>
        <w:tc>
          <w:tcPr>
            <w:tcW w:w="32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right w:val="single" w:sz="8" w:color="auto"/>
            </w:tcBorders>
            <w:vMerge w:val="restart"/>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140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which all transactions are completed or expire without</w:t>
            </w: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Up to 8,810 shares</w:t>
            </w: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continue"/>
          </w:tcPr>
          <w:p>
            <w:pPr>
              <w:spacing w:after="0"/>
              <w:rPr>
                <w:sz w:val="7"/>
                <w:szCs w:val="7"/>
                <w:color w:val="auto"/>
              </w:rPr>
            </w:pPr>
          </w:p>
        </w:tc>
        <w:tc>
          <w:tcPr>
            <w:tcW w:w="324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restart"/>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President and Chief</w:t>
            </w:r>
          </w:p>
        </w:tc>
        <w:tc>
          <w:tcPr>
            <w:tcW w:w="14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auto"/>
              <w:right w:val="single" w:sz="8" w:color="auto"/>
            </w:tcBorders>
            <w:vMerge w:val="continue"/>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3240" w:type="dxa"/>
            <w:vAlign w:val="bottom"/>
            <w:tcBorders>
              <w:right w:val="single" w:sz="8" w:color="auto"/>
            </w:tcBorders>
            <w:vMerge w:val="continue"/>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Financial Officer)</w:t>
            </w:r>
          </w:p>
        </w:tc>
        <w:tc>
          <w:tcPr>
            <w:tcW w:w="14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2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auto"/>
              <w:right w:val="single" w:sz="8" w:color="auto"/>
            </w:tcBorders>
            <w:shd w:val="clear" w:color="auto" w:fill="CFF0FC"/>
          </w:tcPr>
          <w:p>
            <w:pPr>
              <w:jc w:val="center"/>
              <w:spacing w:after="0" w:line="119" w:lineRule="exact"/>
              <w:rPr>
                <w:sz w:val="20"/>
                <w:szCs w:val="20"/>
                <w:color w:val="auto"/>
              </w:rPr>
            </w:pPr>
            <w:r>
              <w:rPr>
                <w:rFonts w:ascii="Times New Roman" w:cs="Times New Roman" w:eastAsia="Times New Roman" w:hAnsi="Times New Roman"/>
                <w:sz w:val="13"/>
                <w:szCs w:val="13"/>
                <w:color w:val="auto"/>
              </w:rPr>
              <w:t>Michelle M. McCarthy</w:t>
            </w:r>
          </w:p>
        </w:tc>
        <w:tc>
          <w:tcPr>
            <w:tcW w:w="140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3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Until March 5, 2027, or such earlier date upon which</w:t>
            </w:r>
          </w:p>
        </w:tc>
        <w:tc>
          <w:tcPr>
            <w:tcW w:w="144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Vice President</w:t>
            </w:r>
          </w:p>
        </w:tc>
        <w:tc>
          <w:tcPr>
            <w:tcW w:w="1400" w:type="dxa"/>
            <w:vAlign w:val="bottom"/>
            <w:tcBorders>
              <w:right w:val="single" w:sz="8" w:color="auto"/>
            </w:tcBorders>
            <w:vMerge w:val="restart"/>
            <w:shd w:val="clear" w:color="auto" w:fill="CFF0FC"/>
          </w:tcPr>
          <w:p>
            <w:pPr>
              <w:jc w:val="center"/>
              <w:ind w:right="31"/>
              <w:spacing w:after="0"/>
              <w:rPr>
                <w:sz w:val="20"/>
                <w:szCs w:val="20"/>
                <w:color w:val="auto"/>
              </w:rPr>
            </w:pPr>
            <w:r>
              <w:rPr>
                <w:rFonts w:ascii="Times New Roman" w:cs="Times New Roman" w:eastAsia="Times New Roman" w:hAnsi="Times New Roman"/>
                <w:sz w:val="14"/>
                <w:szCs w:val="14"/>
                <w:color w:val="auto"/>
              </w:rPr>
              <w:t>Adoption (March 5,</w:t>
            </w:r>
          </w:p>
        </w:tc>
        <w:tc>
          <w:tcPr>
            <w:tcW w:w="1440" w:type="dxa"/>
            <w:vAlign w:val="bottom"/>
            <w:tcBorders>
              <w:right w:val="single" w:sz="8" w:color="auto"/>
            </w:tcBorders>
            <w:vMerge w:val="restart"/>
            <w:shd w:val="clear" w:color="auto" w:fill="CFF0FC"/>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continue"/>
            <w:shd w:val="clear" w:color="auto" w:fill="CFF0FC"/>
          </w:tcPr>
          <w:p>
            <w:pPr>
              <w:spacing w:after="0"/>
              <w:rPr>
                <w:sz w:val="5"/>
                <w:szCs w:val="5"/>
                <w:color w:val="auto"/>
              </w:rPr>
            </w:pPr>
          </w:p>
        </w:tc>
        <w:tc>
          <w:tcPr>
            <w:tcW w:w="1440" w:type="dxa"/>
            <w:vAlign w:val="bottom"/>
            <w:tcBorders>
              <w:right w:val="single" w:sz="8" w:color="auto"/>
            </w:tcBorders>
            <w:vMerge w:val="restart"/>
            <w:shd w:val="clear" w:color="auto" w:fill="CFF0FC"/>
          </w:tcPr>
          <w:p>
            <w:pPr>
              <w:jc w:val="center"/>
              <w:spacing w:after="0" w:line="212" w:lineRule="exact"/>
              <w:rPr>
                <w:sz w:val="20"/>
                <w:szCs w:val="20"/>
                <w:color w:val="auto"/>
              </w:rPr>
            </w:pPr>
            <w:r>
              <w:rPr>
                <w:rFonts w:ascii="Times New Roman" w:cs="Times New Roman" w:eastAsia="Times New Roman" w:hAnsi="Times New Roman"/>
                <w:sz w:val="14"/>
                <w:szCs w:val="14"/>
                <w:color w:val="auto"/>
              </w:rPr>
              <w:t>Up to 3,811 shares</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44"/>
        </w:trPr>
        <w:tc>
          <w:tcPr>
            <w:tcW w:w="1480" w:type="dxa"/>
            <w:vAlign w:val="bottom"/>
            <w:tcBorders>
              <w:left w:val="single" w:sz="8" w:color="auto"/>
              <w:right w:val="single" w:sz="8" w:color="auto"/>
            </w:tcBorders>
            <w:vMerge w:val="continue"/>
            <w:shd w:val="clear" w:color="auto" w:fill="CFF0FC"/>
          </w:tcPr>
          <w:p>
            <w:pPr>
              <w:spacing w:after="0"/>
              <w:rPr>
                <w:sz w:val="12"/>
                <w:szCs w:val="12"/>
                <w:color w:val="auto"/>
              </w:rPr>
            </w:pPr>
          </w:p>
        </w:tc>
        <w:tc>
          <w:tcPr>
            <w:tcW w:w="140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3240" w:type="dxa"/>
            <w:vAlign w:val="bottom"/>
            <w:tcBorders>
              <w:right w:val="single" w:sz="8" w:color="auto"/>
            </w:tcBorders>
            <w:shd w:val="clear" w:color="auto" w:fill="CFF0FC"/>
          </w:tcPr>
          <w:p>
            <w:pPr>
              <w:jc w:val="center"/>
              <w:spacing w:after="0" w:line="145" w:lineRule="exact"/>
              <w:rPr>
                <w:sz w:val="20"/>
                <w:szCs w:val="20"/>
                <w:color w:val="auto"/>
              </w:rPr>
            </w:pPr>
            <w:r>
              <w:rPr>
                <w:rFonts w:ascii="Times New Roman" w:cs="Times New Roman" w:eastAsia="Times New Roman" w:hAnsi="Times New Roman"/>
                <w:sz w:val="14"/>
                <w:szCs w:val="14"/>
                <w:color w:val="auto"/>
              </w:rPr>
              <w:t>all transactions are completed or expire without</w:t>
            </w:r>
          </w:p>
        </w:tc>
        <w:tc>
          <w:tcPr>
            <w:tcW w:w="1440" w:type="dxa"/>
            <w:vAlign w:val="bottom"/>
            <w:tcBorders>
              <w:right w:val="single" w:sz="8" w:color="auto"/>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480" w:type="dxa"/>
            <w:vAlign w:val="bottom"/>
            <w:tcBorders>
              <w:left w:val="single" w:sz="8" w:color="auto"/>
              <w:right w:val="single" w:sz="8" w:color="auto"/>
            </w:tcBorders>
            <w:shd w:val="clear" w:color="auto" w:fill="CFF0FC"/>
          </w:tcPr>
          <w:p>
            <w:pPr>
              <w:jc w:val="center"/>
              <w:ind w:right="10"/>
              <w:spacing w:after="0" w:line="85" w:lineRule="exact"/>
              <w:rPr>
                <w:sz w:val="20"/>
                <w:szCs w:val="20"/>
                <w:color w:val="auto"/>
              </w:rPr>
            </w:pPr>
            <w:r>
              <w:rPr>
                <w:rFonts w:ascii="Times New Roman" w:cs="Times New Roman" w:eastAsia="Times New Roman" w:hAnsi="Times New Roman"/>
                <w:sz w:val="9"/>
                <w:szCs w:val="9"/>
                <w:color w:val="auto"/>
              </w:rPr>
              <w:t>and Chief Accounting</w:t>
            </w:r>
          </w:p>
        </w:tc>
        <w:tc>
          <w:tcPr>
            <w:tcW w:w="1400" w:type="dxa"/>
            <w:vAlign w:val="bottom"/>
            <w:tcBorders>
              <w:right w:val="single" w:sz="8" w:color="auto"/>
            </w:tcBorders>
            <w:shd w:val="clear" w:color="auto" w:fill="CFF0FC"/>
          </w:tcPr>
          <w:p>
            <w:pPr>
              <w:jc w:val="center"/>
              <w:spacing w:after="0" w:line="85" w:lineRule="exact"/>
              <w:rPr>
                <w:sz w:val="20"/>
                <w:szCs w:val="20"/>
                <w:color w:val="auto"/>
              </w:rPr>
            </w:pPr>
            <w:r>
              <w:rPr>
                <w:rFonts w:ascii="Times New Roman" w:cs="Times New Roman" w:eastAsia="Times New Roman" w:hAnsi="Times New Roman"/>
                <w:sz w:val="9"/>
                <w:szCs w:val="9"/>
                <w:color w:val="auto"/>
              </w:rPr>
              <w:t>2026)</w:t>
            </w:r>
          </w:p>
        </w:tc>
        <w:tc>
          <w:tcPr>
            <w:tcW w:w="1440" w:type="dxa"/>
            <w:vAlign w:val="bottom"/>
            <w:tcBorders>
              <w:right w:val="single" w:sz="8" w:color="auto"/>
            </w:tcBorders>
            <w:shd w:val="clear" w:color="auto" w:fill="CFF0FC"/>
          </w:tcPr>
          <w:p>
            <w:pPr>
              <w:jc w:val="center"/>
              <w:spacing w:after="0" w:line="85" w:lineRule="exact"/>
              <w:rPr>
                <w:sz w:val="20"/>
                <w:szCs w:val="20"/>
                <w:color w:val="auto"/>
              </w:rPr>
            </w:pPr>
            <w:r>
              <w:rPr>
                <w:rFonts w:ascii="Times New Roman" w:cs="Times New Roman" w:eastAsia="Times New Roman" w:hAnsi="Times New Roman"/>
                <w:sz w:val="9"/>
                <w:szCs w:val="9"/>
                <w:color w:val="auto"/>
              </w:rPr>
              <w:t>arrangement</w:t>
            </w:r>
          </w:p>
        </w:tc>
        <w:tc>
          <w:tcPr>
            <w:tcW w:w="1440" w:type="dxa"/>
            <w:vAlign w:val="bottom"/>
            <w:tcBorders>
              <w:right w:val="single" w:sz="8" w:color="auto"/>
            </w:tcBorders>
            <w:shd w:val="clear" w:color="auto" w:fill="CFF0FC"/>
          </w:tcPr>
          <w:p>
            <w:pPr>
              <w:spacing w:after="0"/>
              <w:rPr>
                <w:sz w:val="7"/>
                <w:szCs w:val="7"/>
                <w:color w:val="auto"/>
              </w:rPr>
            </w:pPr>
          </w:p>
        </w:tc>
        <w:tc>
          <w:tcPr>
            <w:tcW w:w="3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1400" w:type="dxa"/>
            <w:vAlign w:val="bottom"/>
            <w:tcBorders>
              <w:right w:val="single" w:sz="8" w:color="auto"/>
            </w:tcBorders>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3240" w:type="dxa"/>
            <w:vAlign w:val="bottom"/>
            <w:tcBorders>
              <w:right w:val="single" w:sz="8" w:color="auto"/>
            </w:tcBorders>
            <w:vMerge w:val="continue"/>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80" w:type="dxa"/>
            <w:vAlign w:val="bottom"/>
            <w:tcBorders>
              <w:left w:val="single" w:sz="8" w:color="auto"/>
              <w:bottom w:val="single" w:sz="8" w:color="auto"/>
              <w:right w:val="single" w:sz="8" w:color="auto"/>
            </w:tcBorders>
            <w:vMerge w:val="continue"/>
            <w:shd w:val="clear" w:color="auto" w:fill="CFF0FC"/>
          </w:tcPr>
          <w:p>
            <w:pPr>
              <w:spacing w:after="0"/>
              <w:rPr>
                <w:sz w:val="5"/>
                <w:szCs w:val="5"/>
                <w:color w:val="auto"/>
              </w:rPr>
            </w:pPr>
          </w:p>
        </w:tc>
        <w:tc>
          <w:tcPr>
            <w:tcW w:w="1400" w:type="dxa"/>
            <w:vAlign w:val="bottom"/>
            <w:tcBorders>
              <w:bottom w:val="single" w:sz="8" w:color="auto"/>
              <w:right w:val="single" w:sz="8" w:color="auto"/>
            </w:tcBorders>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3240" w:type="dxa"/>
            <w:vAlign w:val="bottom"/>
            <w:tcBorders>
              <w:bottom w:val="single" w:sz="8" w:color="auto"/>
              <w:right w:val="single" w:sz="8" w:color="auto"/>
            </w:tcBorders>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auto"/>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Elizabeth A.</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Adoption (February 23,</w:t>
            </w:r>
          </w:p>
        </w:tc>
        <w:tc>
          <w:tcPr>
            <w:tcW w:w="144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tcPr>
          <w:p>
            <w:pPr>
              <w:spacing w:after="0"/>
              <w:rPr>
                <w:sz w:val="10"/>
                <w:szCs w:val="10"/>
                <w:color w:val="auto"/>
              </w:rPr>
            </w:pPr>
          </w:p>
        </w:tc>
        <w:tc>
          <w:tcPr>
            <w:tcW w:w="32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Until March 2, 2027, or such earlier date upon which</w:t>
            </w: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continue"/>
          </w:tcPr>
          <w:p>
            <w:pPr>
              <w:spacing w:after="0"/>
              <w:rPr>
                <w:sz w:val="5"/>
                <w:szCs w:val="5"/>
                <w:color w:val="auto"/>
              </w:rPr>
            </w:pP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all transactions are completed or expire without</w:t>
            </w:r>
          </w:p>
        </w:tc>
        <w:tc>
          <w:tcPr>
            <w:tcW w:w="14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Up to 1,200 shares</w:t>
            </w: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Mora (Director)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continue"/>
          </w:tcPr>
          <w:p>
            <w:pPr>
              <w:spacing w:after="0"/>
              <w:rPr>
                <w:sz w:val="7"/>
                <w:szCs w:val="7"/>
                <w:color w:val="auto"/>
              </w:rPr>
            </w:pPr>
          </w:p>
        </w:tc>
        <w:tc>
          <w:tcPr>
            <w:tcW w:w="324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80" w:type="dxa"/>
            <w:vAlign w:val="bottom"/>
            <w:tcBorders>
              <w:left w:val="single" w:sz="8" w:color="auto"/>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vMerge w:val="continue"/>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auto"/>
              <w:right w:val="single" w:sz="8" w:color="auto"/>
            </w:tcBorders>
            <w:shd w:val="clear" w:color="auto" w:fill="CFF0FC"/>
          </w:tcPr>
          <w:p>
            <w:pPr>
              <w:jc w:val="center"/>
              <w:ind w:right="10"/>
              <w:spacing w:after="0" w:line="119" w:lineRule="exact"/>
              <w:rPr>
                <w:sz w:val="20"/>
                <w:szCs w:val="20"/>
                <w:color w:val="auto"/>
              </w:rPr>
            </w:pPr>
            <w:r>
              <w:rPr>
                <w:rFonts w:ascii="Times New Roman" w:cs="Times New Roman" w:eastAsia="Times New Roman" w:hAnsi="Times New Roman"/>
                <w:sz w:val="13"/>
                <w:szCs w:val="13"/>
                <w:color w:val="auto"/>
              </w:rPr>
              <w:t>James A.</w:t>
            </w:r>
          </w:p>
        </w:tc>
        <w:tc>
          <w:tcPr>
            <w:tcW w:w="140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3240" w:type="dxa"/>
            <w:vAlign w:val="bottom"/>
            <w:tcBorders>
              <w:right w:val="single" w:sz="8" w:color="auto"/>
            </w:tcBorders>
            <w:vMerge w:val="restart"/>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color w:val="auto"/>
              </w:rPr>
              <w:t>Until December 31, 2026, or such earlier date upon</w:t>
            </w:r>
          </w:p>
        </w:tc>
        <w:tc>
          <w:tcPr>
            <w:tcW w:w="144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shd w:val="clear" w:color="auto" w:fill="CFF0FC"/>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Schreiner (Executive</w:t>
            </w:r>
          </w:p>
        </w:tc>
        <w:tc>
          <w:tcPr>
            <w:tcW w:w="1400" w:type="dxa"/>
            <w:vAlign w:val="bottom"/>
            <w:tcBorders>
              <w:right w:val="single" w:sz="8" w:color="auto"/>
            </w:tcBorders>
            <w:vMerge w:val="restart"/>
            <w:shd w:val="clear" w:color="auto" w:fill="CFF0FC"/>
          </w:tcPr>
          <w:p>
            <w:pPr>
              <w:jc w:val="center"/>
              <w:ind w:right="31"/>
              <w:spacing w:after="0"/>
              <w:rPr>
                <w:sz w:val="20"/>
                <w:szCs w:val="20"/>
                <w:color w:val="auto"/>
              </w:rPr>
            </w:pPr>
            <w:r>
              <w:rPr>
                <w:rFonts w:ascii="Times New Roman" w:cs="Times New Roman" w:eastAsia="Times New Roman" w:hAnsi="Times New Roman"/>
                <w:sz w:val="14"/>
                <w:szCs w:val="14"/>
                <w:color w:val="auto"/>
              </w:rPr>
              <w:t>Adoption (March 10,</w:t>
            </w:r>
          </w:p>
        </w:tc>
        <w:tc>
          <w:tcPr>
            <w:tcW w:w="1440" w:type="dxa"/>
            <w:vAlign w:val="bottom"/>
            <w:tcBorders>
              <w:right w:val="single" w:sz="8" w:color="auto"/>
            </w:tcBorders>
            <w:vMerge w:val="restart"/>
            <w:shd w:val="clear" w:color="auto" w:fill="CFF0FC"/>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shd w:val="clear" w:color="auto" w:fill="CFF0FC"/>
          </w:tcPr>
          <w:p>
            <w:pPr>
              <w:spacing w:after="0"/>
              <w:rPr>
                <w:sz w:val="12"/>
                <w:szCs w:val="12"/>
                <w:color w:val="auto"/>
              </w:rPr>
            </w:pPr>
          </w:p>
        </w:tc>
        <w:tc>
          <w:tcPr>
            <w:tcW w:w="3240" w:type="dxa"/>
            <w:vAlign w:val="bottom"/>
            <w:tcBorders>
              <w:right w:val="single" w:sz="8" w:color="auto"/>
            </w:tcBorders>
            <w:vMerge w:val="continue"/>
            <w:shd w:val="clear" w:color="auto" w:fill="CFF0FC"/>
          </w:tcPr>
          <w:p>
            <w:pPr>
              <w:spacing w:after="0"/>
              <w:rPr>
                <w:sz w:val="12"/>
                <w:szCs w:val="12"/>
                <w:color w:val="auto"/>
              </w:rPr>
            </w:pPr>
          </w:p>
        </w:tc>
        <w:tc>
          <w:tcPr>
            <w:tcW w:w="144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80" w:type="dxa"/>
            <w:vAlign w:val="bottom"/>
            <w:tcBorders>
              <w:left w:val="single" w:sz="8" w:color="auto"/>
              <w:right w:val="single" w:sz="8" w:color="auto"/>
            </w:tcBorders>
            <w:vMerge w:val="restart"/>
            <w:shd w:val="clear" w:color="auto" w:fill="CFF0FC"/>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Vice President and</w:t>
            </w:r>
          </w:p>
        </w:tc>
        <w:tc>
          <w:tcPr>
            <w:tcW w:w="1400" w:type="dxa"/>
            <w:vAlign w:val="bottom"/>
            <w:tcBorders>
              <w:right w:val="single" w:sz="8" w:color="auto"/>
            </w:tcBorders>
            <w:vMerge w:val="continue"/>
            <w:shd w:val="clear" w:color="auto" w:fill="CFF0FC"/>
          </w:tcPr>
          <w:p>
            <w:pPr>
              <w:spacing w:after="0"/>
              <w:rPr>
                <w:sz w:val="5"/>
                <w:szCs w:val="5"/>
                <w:color w:val="auto"/>
              </w:rPr>
            </w:pPr>
          </w:p>
        </w:tc>
        <w:tc>
          <w:tcPr>
            <w:tcW w:w="1440" w:type="dxa"/>
            <w:vAlign w:val="bottom"/>
            <w:tcBorders>
              <w:right w:val="single" w:sz="8" w:color="auto"/>
            </w:tcBorders>
            <w:vMerge w:val="continue"/>
            <w:shd w:val="clear" w:color="auto" w:fill="CFF0FC"/>
          </w:tcPr>
          <w:p>
            <w:pPr>
              <w:spacing w:after="0"/>
              <w:rPr>
                <w:sz w:val="5"/>
                <w:szCs w:val="5"/>
                <w:color w:val="auto"/>
              </w:rPr>
            </w:pPr>
          </w:p>
        </w:tc>
        <w:tc>
          <w:tcPr>
            <w:tcW w:w="1440" w:type="dxa"/>
            <w:vAlign w:val="bottom"/>
            <w:tcBorders>
              <w:right w:val="single" w:sz="8" w:color="auto"/>
            </w:tcBorders>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restart"/>
            <w:shd w:val="clear" w:color="auto" w:fill="CFF0FC"/>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which all transactions are completed or expire without</w:t>
            </w:r>
          </w:p>
        </w:tc>
        <w:tc>
          <w:tcPr>
            <w:tcW w:w="1440" w:type="dxa"/>
            <w:vAlign w:val="bottom"/>
            <w:tcBorders>
              <w:right w:val="single" w:sz="8" w:color="auto"/>
            </w:tcBorders>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Up to 781 shares</w:t>
            </w: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vMerge w:val="continue"/>
            <w:shd w:val="clear" w:color="auto" w:fill="CFF0FC"/>
          </w:tcPr>
          <w:p>
            <w:pPr>
              <w:spacing w:after="0"/>
              <w:rPr>
                <w:sz w:val="7"/>
                <w:szCs w:val="7"/>
                <w:color w:val="auto"/>
              </w:rPr>
            </w:pPr>
          </w:p>
        </w:tc>
        <w:tc>
          <w:tcPr>
            <w:tcW w:w="14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continue"/>
            <w:shd w:val="clear" w:color="auto" w:fill="CFF0FC"/>
          </w:tcPr>
          <w:p>
            <w:pPr>
              <w:spacing w:after="0"/>
              <w:rPr>
                <w:sz w:val="7"/>
                <w:szCs w:val="7"/>
                <w:color w:val="auto"/>
              </w:rPr>
            </w:pPr>
          </w:p>
        </w:tc>
        <w:tc>
          <w:tcPr>
            <w:tcW w:w="3240" w:type="dxa"/>
            <w:vAlign w:val="bottom"/>
            <w:tcBorders>
              <w:right w:val="single" w:sz="8" w:color="auto"/>
            </w:tcBorders>
            <w:vMerge w:val="continue"/>
            <w:shd w:val="clear" w:color="auto" w:fill="CFF0FC"/>
          </w:tcPr>
          <w:p>
            <w:pPr>
              <w:spacing w:after="0"/>
              <w:rPr>
                <w:sz w:val="7"/>
                <w:szCs w:val="7"/>
                <w:color w:val="auto"/>
              </w:rPr>
            </w:pPr>
          </w:p>
        </w:tc>
        <w:tc>
          <w:tcPr>
            <w:tcW w:w="1440" w:type="dxa"/>
            <w:vAlign w:val="bottom"/>
            <w:tcBorders>
              <w:right w:val="single" w:sz="8" w:color="auto"/>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restart"/>
            <w:shd w:val="clear" w:color="auto" w:fill="CFF0FC"/>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Chief Operating</w:t>
            </w:r>
          </w:p>
        </w:tc>
        <w:tc>
          <w:tcPr>
            <w:tcW w:w="1400" w:type="dxa"/>
            <w:vAlign w:val="bottom"/>
            <w:tcBorders>
              <w:right w:val="single" w:sz="8" w:color="auto"/>
            </w:tcBorders>
            <w:vMerge w:val="continue"/>
            <w:shd w:val="clear" w:color="auto" w:fill="CFF0FC"/>
          </w:tcPr>
          <w:p>
            <w:pPr>
              <w:spacing w:after="0"/>
              <w:rPr>
                <w:sz w:val="9"/>
                <w:szCs w:val="9"/>
                <w:color w:val="auto"/>
              </w:rPr>
            </w:pPr>
          </w:p>
        </w:tc>
        <w:tc>
          <w:tcPr>
            <w:tcW w:w="1440" w:type="dxa"/>
            <w:vAlign w:val="bottom"/>
            <w:tcBorders>
              <w:right w:val="single" w:sz="8" w:color="auto"/>
            </w:tcBorders>
            <w:vMerge w:val="continue"/>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3240" w:type="dxa"/>
            <w:vAlign w:val="bottom"/>
            <w:tcBorders>
              <w:right w:val="single" w:sz="8" w:color="auto"/>
            </w:tcBorders>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auto"/>
              <w:right w:val="single" w:sz="8" w:color="auto"/>
            </w:tcBorders>
            <w:vMerge w:val="continue"/>
            <w:shd w:val="clear" w:color="auto" w:fill="CFF0FC"/>
          </w:tcPr>
          <w:p>
            <w:pPr>
              <w:spacing w:after="0"/>
              <w:rPr>
                <w:sz w:val="3"/>
                <w:szCs w:val="3"/>
                <w:color w:val="auto"/>
              </w:rPr>
            </w:pPr>
          </w:p>
        </w:tc>
        <w:tc>
          <w:tcPr>
            <w:tcW w:w="1400" w:type="dxa"/>
            <w:vAlign w:val="bottom"/>
            <w:tcBorders>
              <w:right w:val="single" w:sz="8" w:color="auto"/>
            </w:tcBorders>
            <w:shd w:val="clear" w:color="auto" w:fill="CFF0FC"/>
          </w:tcPr>
          <w:p>
            <w:pPr>
              <w:spacing w:after="0"/>
              <w:rPr>
                <w:sz w:val="3"/>
                <w:szCs w:val="3"/>
                <w:color w:val="auto"/>
              </w:rPr>
            </w:pPr>
          </w:p>
        </w:tc>
        <w:tc>
          <w:tcPr>
            <w:tcW w:w="1440" w:type="dxa"/>
            <w:vAlign w:val="bottom"/>
            <w:tcBorders>
              <w:right w:val="single" w:sz="8" w:color="auto"/>
            </w:tcBorders>
            <w:shd w:val="clear" w:color="auto" w:fill="CFF0FC"/>
          </w:tcPr>
          <w:p>
            <w:pPr>
              <w:spacing w:after="0"/>
              <w:rPr>
                <w:sz w:val="3"/>
                <w:szCs w:val="3"/>
                <w:color w:val="auto"/>
              </w:rPr>
            </w:pPr>
          </w:p>
        </w:tc>
        <w:tc>
          <w:tcPr>
            <w:tcW w:w="1440" w:type="dxa"/>
            <w:vAlign w:val="bottom"/>
            <w:tcBorders>
              <w:right w:val="single" w:sz="8" w:color="auto"/>
            </w:tcBorders>
            <w:shd w:val="clear" w:color="auto" w:fill="CFF0FC"/>
          </w:tcPr>
          <w:p>
            <w:pPr>
              <w:spacing w:after="0"/>
              <w:rPr>
                <w:sz w:val="3"/>
                <w:szCs w:val="3"/>
                <w:color w:val="auto"/>
              </w:rPr>
            </w:pPr>
          </w:p>
        </w:tc>
        <w:tc>
          <w:tcPr>
            <w:tcW w:w="3240" w:type="dxa"/>
            <w:vAlign w:val="bottom"/>
            <w:tcBorders>
              <w:right w:val="single" w:sz="8" w:color="auto"/>
            </w:tcBorders>
            <w:vMerge w:val="continue"/>
            <w:shd w:val="clear" w:color="auto" w:fill="CFF0FC"/>
          </w:tcPr>
          <w:p>
            <w:pPr>
              <w:spacing w:after="0"/>
              <w:rPr>
                <w:sz w:val="3"/>
                <w:szCs w:val="3"/>
                <w:color w:val="auto"/>
              </w:rPr>
            </w:pPr>
          </w:p>
        </w:tc>
        <w:tc>
          <w:tcPr>
            <w:tcW w:w="1440" w:type="dxa"/>
            <w:vAlign w:val="bottom"/>
            <w:tcBorders>
              <w:right w:val="single" w:sz="8" w:color="auto"/>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48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1400" w:type="dxa"/>
            <w:vAlign w:val="bottom"/>
            <w:tcBorders>
              <w:bottom w:val="single" w:sz="8" w:color="auto"/>
              <w:right w:val="single" w:sz="8" w:color="auto"/>
            </w:tcBorders>
            <w:shd w:val="clear" w:color="auto" w:fill="CFF0FC"/>
          </w:tcPr>
          <w:p>
            <w:pPr>
              <w:spacing w:after="0"/>
              <w:rPr>
                <w:sz w:val="14"/>
                <w:szCs w:val="14"/>
                <w:color w:val="auto"/>
              </w:rPr>
            </w:pPr>
          </w:p>
        </w:tc>
        <w:tc>
          <w:tcPr>
            <w:tcW w:w="1440" w:type="dxa"/>
            <w:vAlign w:val="bottom"/>
            <w:tcBorders>
              <w:bottom w:val="single" w:sz="8" w:color="auto"/>
              <w:right w:val="single" w:sz="8" w:color="auto"/>
            </w:tcBorders>
            <w:shd w:val="clear" w:color="auto" w:fill="CFF0FC"/>
          </w:tcPr>
          <w:p>
            <w:pPr>
              <w:spacing w:after="0"/>
              <w:rPr>
                <w:sz w:val="14"/>
                <w:szCs w:val="14"/>
                <w:color w:val="auto"/>
              </w:rPr>
            </w:pPr>
          </w:p>
        </w:tc>
        <w:tc>
          <w:tcPr>
            <w:tcW w:w="1440" w:type="dxa"/>
            <w:vAlign w:val="bottom"/>
            <w:tcBorders>
              <w:bottom w:val="single" w:sz="8" w:color="auto"/>
              <w:right w:val="single" w:sz="8" w:color="auto"/>
            </w:tcBorders>
            <w:shd w:val="clear" w:color="auto" w:fill="CFF0FC"/>
          </w:tcPr>
          <w:p>
            <w:pPr>
              <w:spacing w:after="0"/>
              <w:rPr>
                <w:sz w:val="14"/>
                <w:szCs w:val="14"/>
                <w:color w:val="auto"/>
              </w:rPr>
            </w:pPr>
          </w:p>
        </w:tc>
        <w:tc>
          <w:tcPr>
            <w:tcW w:w="3240" w:type="dxa"/>
            <w:vAlign w:val="bottom"/>
            <w:tcBorders>
              <w:bottom w:val="single" w:sz="8" w:color="auto"/>
              <w:right w:val="single" w:sz="8" w:color="auto"/>
            </w:tcBorders>
            <w:shd w:val="clear" w:color="auto" w:fill="CFF0FC"/>
          </w:tcPr>
          <w:p>
            <w:pPr>
              <w:spacing w:after="0"/>
              <w:rPr>
                <w:sz w:val="14"/>
                <w:szCs w:val="14"/>
                <w:color w:val="auto"/>
              </w:rPr>
            </w:pPr>
          </w:p>
        </w:tc>
        <w:tc>
          <w:tcPr>
            <w:tcW w:w="14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auto"/>
              <w:right w:val="single" w:sz="8" w:color="auto"/>
            </w:tcBorders>
          </w:tcPr>
          <w:p>
            <w:pPr>
              <w:jc w:val="center"/>
              <w:ind w:right="10"/>
              <w:spacing w:after="0" w:line="119" w:lineRule="exact"/>
              <w:rPr>
                <w:sz w:val="20"/>
                <w:szCs w:val="20"/>
                <w:color w:val="auto"/>
              </w:rPr>
            </w:pPr>
            <w:r>
              <w:rPr>
                <w:rFonts w:ascii="Times New Roman" w:cs="Times New Roman" w:eastAsia="Times New Roman" w:hAnsi="Times New Roman"/>
                <w:sz w:val="13"/>
                <w:szCs w:val="13"/>
                <w:color w:val="auto"/>
              </w:rPr>
              <w:t>John E. Williams</w:t>
            </w:r>
          </w:p>
        </w:tc>
        <w:tc>
          <w:tcPr>
            <w:tcW w:w="140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324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Until March 31, 2027, or such earlier date upon which</w:t>
            </w: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80" w:type="dxa"/>
            <w:vAlign w:val="bottom"/>
            <w:tcBorders>
              <w:left w:val="single" w:sz="8" w:color="auto"/>
              <w:right w:val="single" w:sz="8" w:color="auto"/>
            </w:tcBorders>
          </w:tcPr>
          <w:p>
            <w:pPr>
              <w:jc w:val="center"/>
              <w:ind w:right="1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1400" w:type="dxa"/>
            <w:vAlign w:val="bottom"/>
            <w:tcBorders>
              <w:right w:val="single" w:sz="8" w:color="auto"/>
            </w:tcBorders>
            <w:vMerge w:val="restart"/>
          </w:tcPr>
          <w:p>
            <w:pPr>
              <w:jc w:val="center"/>
              <w:ind w:right="31"/>
              <w:spacing w:after="0"/>
              <w:rPr>
                <w:sz w:val="20"/>
                <w:szCs w:val="20"/>
                <w:color w:val="auto"/>
              </w:rPr>
            </w:pPr>
            <w:r>
              <w:rPr>
                <w:rFonts w:ascii="Times New Roman" w:cs="Times New Roman" w:eastAsia="Times New Roman" w:hAnsi="Times New Roman"/>
                <w:sz w:val="14"/>
                <w:szCs w:val="14"/>
                <w:color w:val="auto"/>
              </w:rPr>
              <w:t>Adoption (March 5,</w:t>
            </w:r>
          </w:p>
        </w:tc>
        <w:tc>
          <w:tcPr>
            <w:tcW w:w="1440" w:type="dxa"/>
            <w:vAlign w:val="bottom"/>
            <w:tcBorders>
              <w:right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Up to 3,286 shares</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44"/>
        </w:trPr>
        <w:tc>
          <w:tcPr>
            <w:tcW w:w="1480" w:type="dxa"/>
            <w:vAlign w:val="bottom"/>
            <w:tcBorders>
              <w:left w:val="single" w:sz="8" w:color="auto"/>
              <w:right w:val="single" w:sz="8" w:color="auto"/>
            </w:tcBorders>
          </w:tcPr>
          <w:p>
            <w:pPr>
              <w:jc w:val="center"/>
              <w:ind w:right="10"/>
              <w:spacing w:after="0" w:line="145" w:lineRule="exact"/>
              <w:rPr>
                <w:sz w:val="20"/>
                <w:szCs w:val="20"/>
                <w:color w:val="auto"/>
              </w:rPr>
            </w:pPr>
            <w:r>
              <w:rPr>
                <w:rFonts w:ascii="Times New Roman" w:cs="Times New Roman" w:eastAsia="Times New Roman" w:hAnsi="Times New Roman"/>
                <w:sz w:val="14"/>
                <w:szCs w:val="14"/>
                <w:color w:val="auto"/>
              </w:rPr>
              <w:t>President and General</w:t>
            </w:r>
          </w:p>
        </w:tc>
        <w:tc>
          <w:tcPr>
            <w:tcW w:w="14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2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all transactions are completed or expire without</w:t>
            </w:r>
          </w:p>
        </w:tc>
        <w:tc>
          <w:tcPr>
            <w:tcW w:w="1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right w:val="single" w:sz="8" w:color="auto"/>
            </w:tcBorders>
          </w:tcPr>
          <w:p>
            <w:pPr>
              <w:jc w:val="center"/>
              <w:ind w:right="10"/>
              <w:spacing w:after="0" w:line="153" w:lineRule="exact"/>
              <w:rPr>
                <w:sz w:val="20"/>
                <w:szCs w:val="20"/>
                <w:color w:val="auto"/>
              </w:rPr>
            </w:pPr>
            <w:r>
              <w:rPr>
                <w:rFonts w:ascii="Times New Roman" w:cs="Times New Roman" w:eastAsia="Times New Roman" w:hAnsi="Times New Roman"/>
                <w:sz w:val="14"/>
                <w:szCs w:val="14"/>
                <w:color w:val="auto"/>
              </w:rPr>
              <w:t>Manager, Photonics</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tcPr>
          <w:p>
            <w:pPr>
              <w:spacing w:after="0"/>
              <w:rPr>
                <w:sz w:val="13"/>
                <w:szCs w:val="13"/>
                <w:color w:val="auto"/>
              </w:rPr>
            </w:pPr>
          </w:p>
        </w:tc>
        <w:tc>
          <w:tcPr>
            <w:tcW w:w="324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Solutions Division)</w:t>
            </w:r>
          </w:p>
        </w:tc>
        <w:tc>
          <w:tcPr>
            <w:tcW w:w="14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32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85725</wp:posOffset>
            </wp:positionV>
            <wp:extent cx="9512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1140" w:right="20" w:hanging="390"/>
        <w:spacing w:after="0"/>
        <w:tabs>
          <w:tab w:leader="none" w:pos="11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Rule 10b5-1 trading arrangement includes, in whole or in part, the sale of shares to be received upon vesting of certain outstanding restricted stock units (“RSUs”), net of any shares withheld by us to satisfy applicable tax withholding obligations. Unless the maximum number of shares to be sold is otherwise specified in the Rule 10b5-1 trading arrangement, (i) for shares to be received upon vesting of RSUs, represents the gross number of shares to be received before the surrender of shares in satisfaction of tax withholding obligations; and (ii) for shares to be received upon vesting of performance-based RSUs for which achievement has yet to be determined, represents the gross number of shares to be received based on target achievement.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0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36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Restated Articles of Organization of the Registrant</w:t>
              </w:r>
            </w:hyperlink>
          </w:p>
        </w:tc>
        <w:tc>
          <w:tcPr>
            <w:tcW w:w="6420" w:type="dxa"/>
            <w:vAlign w:val="bottom"/>
            <w:gridSpan w:val="11"/>
          </w:tcPr>
          <w:p>
            <w:pPr>
              <w:spacing w:after="0"/>
              <w:rPr>
                <w:sz w:val="24"/>
                <w:szCs w:val="24"/>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2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Second Amended and Restated By-Laws of the Registrant</w:t>
              </w:r>
            </w:hyperlink>
          </w:p>
        </w:tc>
        <w:tc>
          <w:tcPr>
            <w:tcW w:w="20" w:type="dxa"/>
            <w:vAlign w:val="bottom"/>
            <w:tcBorders>
              <w:bottom w:val="single" w:sz="8" w:color="0000EE"/>
            </w:tcBorders>
          </w:tcPr>
          <w:p>
            <w:pPr>
              <w:spacing w:after="0"/>
              <w:rPr>
                <w:sz w:val="24"/>
                <w:szCs w:val="24"/>
                <w:color w:val="auto"/>
              </w:rPr>
            </w:pPr>
          </w:p>
        </w:tc>
        <w:tc>
          <w:tcPr>
            <w:tcW w:w="5880" w:type="dxa"/>
            <w:vAlign w:val="bottom"/>
            <w:gridSpan w:val="9"/>
          </w:tcPr>
          <w:p>
            <w:pPr>
              <w:spacing w:after="0"/>
              <w:rPr>
                <w:sz w:val="24"/>
                <w:szCs w:val="24"/>
                <w:color w:val="auto"/>
              </w:rPr>
            </w:pPr>
          </w:p>
        </w:tc>
      </w:tr>
      <w:tr>
        <w:trPr>
          <w:trHeight w:val="3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4"/>
                <w:szCs w:val="24"/>
                <w:color w:val="auto"/>
              </w:rPr>
            </w:pPr>
          </w:p>
        </w:tc>
        <w:tc>
          <w:tcPr>
            <w:tcW w:w="10100" w:type="dxa"/>
            <w:vAlign w:val="bottom"/>
            <w:gridSpan w:val="16"/>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Amendments to Second Amended and Restated By-Laws of the Registrant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97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Indenture, dated February 4, 2026, by and among the Registrant, the guarantors listed therein and U.S. Bank Trust Company, National</w:t>
              </w:r>
            </w:hyperlink>
          </w:p>
        </w:tc>
        <w:tc>
          <w:tcPr>
            <w:tcW w:w="3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Association, as trustee</w:t>
              </w:r>
            </w:hyperlink>
          </w:p>
        </w:tc>
        <w:tc>
          <w:tcPr>
            <w:tcW w:w="20" w:type="dxa"/>
            <w:vAlign w:val="bottom"/>
            <w:tcBorders>
              <w:bottom w:val="single" w:sz="8" w:color="0000EE"/>
            </w:tcBorders>
          </w:tcPr>
          <w:p>
            <w:pPr>
              <w:spacing w:after="0"/>
              <w:rPr>
                <w:sz w:val="17"/>
                <w:szCs w:val="17"/>
                <w:color w:val="auto"/>
              </w:rPr>
            </w:pPr>
          </w:p>
        </w:tc>
        <w:tc>
          <w:tcPr>
            <w:tcW w:w="8460" w:type="dxa"/>
            <w:vAlign w:val="bottom"/>
            <w:gridSpan w:val="14"/>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4"/>
                <w:szCs w:val="24"/>
                <w:color w:val="auto"/>
              </w:rPr>
            </w:pPr>
          </w:p>
        </w:tc>
        <w:tc>
          <w:tcPr>
            <w:tcW w:w="10100" w:type="dxa"/>
            <w:vAlign w:val="bottom"/>
            <w:gridSpan w:val="16"/>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Global Note (included within Exhibit 4.1)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97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Sixth Amendment to Credit Agreement, dated as of February 4, 2026, by and among the Registrant, as parent borrower, the other loan</w:t>
              </w:r>
            </w:hyperlink>
          </w:p>
        </w:tc>
        <w:tc>
          <w:tcPr>
            <w:tcW w:w="38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parties party thereto, JPMorgan Chase Bank, N.A. and J.P. Morgan SE, as administrative agent, JPMorgan Chase Bank, N.A., as collateral</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6"/>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agent, and each lender and letter of credit issuer party thereto</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13a-14(a)/Rule 15d-14(a) of the Securities Exchange Act of 1934, as amended</w:t>
            </w:r>
          </w:p>
        </w:tc>
        <w:tc>
          <w:tcPr>
            <w:tcW w:w="40" w:type="dxa"/>
            <w:vAlign w:val="bottom"/>
          </w:tcPr>
          <w:p>
            <w:pPr>
              <w:spacing w:after="0"/>
              <w:rPr>
                <w:sz w:val="24"/>
                <w:szCs w:val="24"/>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13a-14(a)/Rule 15d-14(a) of the Securities Exchange Act of 1934, as amended</w:t>
            </w: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84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c>
          <w:tcPr>
            <w:tcW w:w="160" w:type="dxa"/>
            <w:vAlign w:val="bottom"/>
            <w:tcBorders>
              <w:top w:val="single" w:sz="8" w:color="0000EE"/>
            </w:tcBorders>
          </w:tcPr>
          <w:p>
            <w:pPr>
              <w:spacing w:after="0"/>
              <w:rPr>
                <w:sz w:val="24"/>
                <w:szCs w:val="24"/>
                <w:color w:val="auto"/>
              </w:rPr>
            </w:pPr>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7260" w:type="dxa"/>
            <w:vAlign w:val="bottom"/>
            <w:gridSpan w:val="13"/>
          </w:tcPr>
          <w:p>
            <w:pPr>
              <w:spacing w:after="0"/>
              <w:rPr>
                <w:sz w:val="17"/>
                <w:szCs w:val="17"/>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117" w:lineRule="exact"/>
        <w:rPr>
          <w:sz w:val="20"/>
          <w:szCs w:val="20"/>
          <w:color w:val="auto"/>
        </w:rPr>
      </w:pPr>
    </w:p>
    <w:p>
      <w:pPr>
        <w:ind w:left="380" w:right="7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U.S. Securities and Exchange Commission on May 15, 2025.</w:t>
      </w:r>
    </w:p>
    <w:p>
      <w:pPr>
        <w:spacing w:after="0" w:line="53" w:lineRule="exact"/>
        <w:rPr>
          <w:rFonts w:ascii="Times New Roman" w:cs="Times New Roman" w:eastAsia="Times New Roman" w:hAnsi="Times New Roman"/>
          <w:sz w:val="18"/>
          <w:szCs w:val="18"/>
          <w:color w:val="auto"/>
        </w:rPr>
      </w:pPr>
    </w:p>
    <w:p>
      <w:pPr>
        <w:ind w:left="380" w:right="7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U.S. Securities and Exchange Commission on December 3, 2024.</w:t>
      </w:r>
    </w:p>
    <w:p>
      <w:pPr>
        <w:spacing w:after="0" w:line="53" w:lineRule="exact"/>
        <w:rPr>
          <w:rFonts w:ascii="Times New Roman" w:cs="Times New Roman" w:eastAsia="Times New Roman" w:hAnsi="Times New Roman"/>
          <w:sz w:val="18"/>
          <w:szCs w:val="18"/>
          <w:color w:val="auto"/>
        </w:rPr>
      </w:pPr>
    </w:p>
    <w:p>
      <w:pPr>
        <w:ind w:left="380" w:right="7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U.S. Securities and Exchange Commission on February 5,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MKS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Ramakumar Mayampurath</w:t>
            </w:r>
          </w:p>
        </w:tc>
      </w:tr>
      <w:tr>
        <w:trPr>
          <w:trHeight w:val="191"/>
        </w:trPr>
        <w:tc>
          <w:tcPr>
            <w:tcW w:w="3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Ramakumar Mayampurath</w:t>
            </w:r>
          </w:p>
        </w:tc>
      </w:tr>
      <w:tr>
        <w:trPr>
          <w:trHeight w:val="216"/>
        </w:trPr>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21"/>
        </w:trPr>
        <w:tc>
          <w:tcPr>
            <w:tcW w:w="3320" w:type="dxa"/>
            <w:vAlign w:val="bottom"/>
          </w:tcPr>
          <w:p>
            <w:pPr>
              <w:spacing w:after="0"/>
              <w:rPr>
                <w:sz w:val="24"/>
                <w:szCs w:val="24"/>
                <w:color w:val="auto"/>
              </w:rPr>
            </w:pPr>
          </w:p>
        </w:tc>
        <w:tc>
          <w:tcPr>
            <w:tcW w:w="2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5380" w:type="dxa"/>
            <w:vAlign w:val="bottom"/>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left="10120"/>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PURSUANT TO RULE 13a-14(a)/RULE 15d-14(a)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T.C. Lee,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MKS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8"/>
          <w:szCs w:val="18"/>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John T.C. Lee</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ind w:left="10120"/>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PURSUANT TO RULE 13a-14(a)/RULE 15d-14(a)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Ramakumar Mayampurath,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MKS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Dated: May 7, 2026</w:t>
      </w:r>
      <w:r>
        <w:rPr>
          <w:sz w:val="20"/>
          <w:szCs w:val="20"/>
          <w:color w:val="auto"/>
        </w:rPr>
        <w:tab/>
      </w:r>
      <w:r>
        <w:rPr>
          <w:rFonts w:ascii="Times New Roman" w:cs="Times New Roman" w:eastAsia="Times New Roman" w:hAnsi="Times New Roman"/>
          <w:sz w:val="17"/>
          <w:szCs w:val="17"/>
          <w:color w:val="auto"/>
        </w:rPr>
        <w:t>/s/ Ramakumar Mayampurath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Ramakumar Mayampurath</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left="10120"/>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MKS Inc. (the "Company") for the period ended March 31, 2026 as filed with the Securities and Exchange Commission on the date hereof (the "Report"), the undersigned, John T.C. Lee, President and Chief Executive Officer of the Company, and Ramakumar Mayampurath, Executive Vice President and Chief Financial Officer of the Company, each hereby certifies, pursuant to 18 U.S.C. Section 1350, as adopted pursuant to Section 906 of the Sarbanes-Oxley Act of 2002, that, based on his knowledge:</w:t>
      </w:r>
    </w:p>
    <w:p>
      <w:pPr>
        <w:spacing w:after="0" w:line="20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John T.C. Lee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T.C. Lee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Ramakumar Mayampurath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Ramakumar Mayampurath</w:t>
            </w:r>
          </w:p>
        </w:tc>
      </w:tr>
      <w:tr>
        <w:trPr>
          <w:trHeight w:val="230"/>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3047365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2"/>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decimal"/>
      <w:start w:val="14"/>
    </w:lvl>
  </w:abstractNum>
  <w:abstractNum w:abstractNumId="21">
    <w:nsid w:val="54E49EB4"/>
    <w:multiLevelType w:val="hybridMultilevel"/>
    <w:lvl w:ilvl="0">
      <w:lvlJc w:val="left"/>
      <w:lvlText w:val="(%1)"/>
      <w:numFmt w:val="decimal"/>
      <w:start w:val="15"/>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6"/>
    </w:lvl>
  </w:abstractNum>
  <w:abstractNum w:abstractNumId="24">
    <w:nsid w:val="836C40E"/>
    <w:multiLevelType w:val="hybridMultilevel"/>
    <w:lvl w:ilvl="0">
      <w:lvlJc w:val="left"/>
      <w:lvlText w:val="(%1)"/>
      <w:numFmt w:val="decimal"/>
      <w:start w:val="17"/>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33" Type="http://schemas.openxmlformats.org/officeDocument/2006/relationships/hyperlink" Target="https://www.sec.gov/Archives/edgar/data/1049502/000095017025072053/mksi-ex3_1.htm" TargetMode="External"/><Relationship Id="rId334" Type="http://schemas.openxmlformats.org/officeDocument/2006/relationships/hyperlink" Target="https://www.sec.gov/Archives/edgar/data/1049502/000119312524269480/d873180dex31.htm" TargetMode="External"/><Relationship Id="rId335" Type="http://schemas.openxmlformats.org/officeDocument/2006/relationships/hyperlink" Target="https://www.sec.gov/Archives/edgar/data/1049502/000095017025072053/mksi-ex3_2.htm" TargetMode="External"/><Relationship Id="rId336" Type="http://schemas.openxmlformats.org/officeDocument/2006/relationships/hyperlink" Target="https://www.sec.gov/Archives/edgar/data/1049502/000119312526038565/d39268dex41.htm" TargetMode="External"/><Relationship Id="rId337" Type="http://schemas.openxmlformats.org/officeDocument/2006/relationships/hyperlink" Target="https://www.sec.gov/Archives/edgar/data/1049502/000119312526038565/d392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2026-05-07T14:34:53Z</dcterms:created>
  <dcterms:modified xsi:type="dcterms:W3CDTF">2026-05-07T14:34:53Z</dcterms:modified>
</cp:coreProperties>
</file>