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625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6255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COLELLA GERALD G</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MKS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MKSI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Borders>
              <w:bottom w:val="single" w:sz="8" w:color="0000EE"/>
            </w:tcBorders>
          </w:tcPr>
          <w:p>
            <w:pPr>
              <w:spacing w:after="0"/>
              <w:rPr>
                <w:sz w:val="6"/>
                <w:szCs w:val="6"/>
                <w:color w:val="auto"/>
              </w:rPr>
            </w:pPr>
          </w:p>
        </w:tc>
        <w:tc>
          <w:tcPr>
            <w:tcW w:w="2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02/20/2026</w:t>
            </w:r>
          </w:p>
        </w:tc>
        <w:tc>
          <w:tcPr>
            <w:tcW w:w="2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MKS INC.</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 TECH DRIVE</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4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2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Gerald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02/20/2026</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151"/>
              <w:spacing w:after="0"/>
              <w:rPr>
                <w:sz w:val="20"/>
                <w:szCs w:val="20"/>
                <w:color w:val="auto"/>
              </w:rPr>
            </w:pPr>
            <w:r>
              <w:rPr>
                <w:rFonts w:ascii="Times New Roman" w:cs="Times New Roman" w:eastAsia="Times New Roman" w:hAnsi="Times New Roman"/>
                <w:sz w:val="17"/>
                <w:szCs w:val="17"/>
                <w:color w:val="0000FF"/>
              </w:rPr>
              <w:t>10,000</w:t>
            </w:r>
          </w:p>
        </w:tc>
        <w:tc>
          <w:tcPr>
            <w:tcW w:w="460" w:type="dxa"/>
            <w:vAlign w:val="bottom"/>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252.8999</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50,017</w:t>
            </w:r>
          </w:p>
        </w:tc>
        <w:tc>
          <w:tcPr>
            <w:tcW w:w="92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Colella</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Gerald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02/24/2026</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151"/>
              <w:spacing w:after="0"/>
              <w:rPr>
                <w:sz w:val="20"/>
                <w:szCs w:val="20"/>
                <w:color w:val="auto"/>
              </w:rPr>
            </w:pPr>
            <w:r>
              <w:rPr>
                <w:rFonts w:ascii="Times New Roman" w:cs="Times New Roman" w:eastAsia="Times New Roman" w:hAnsi="Times New Roman"/>
                <w:sz w:val="17"/>
                <w:szCs w:val="17"/>
                <w:color w:val="0000FF"/>
              </w:rPr>
              <w:t>10,000</w:t>
            </w:r>
          </w:p>
        </w:tc>
        <w:tc>
          <w:tcPr>
            <w:tcW w:w="460" w:type="dxa"/>
            <w:vAlign w:val="bottom"/>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253.9675</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40,017</w:t>
            </w:r>
          </w:p>
        </w:tc>
        <w:tc>
          <w:tcPr>
            <w:tcW w:w="92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Colella</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8,216.927</w:t>
            </w:r>
          </w:p>
        </w:tc>
        <w:tc>
          <w:tcPr>
            <w:tcW w:w="9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$252.60 to $253.86. The price reported above reflects the weighted average sale price. The reporting person hereby undertakes to provide, upon request, the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$253.470 to $255.250. The price reported above reflects the weighted average sale price. The reporting person hereby undertakes to provide, upon request, the full information regarding the number of shares and prices at which the transaction was effected.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 Kathryn Rickards,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02/24/2026</w:t>
            </w: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6715" TargetMode="External"/><Relationship Id="rId14" Type="http://schemas.openxmlformats.org/officeDocument/2006/relationships/hyperlink" Target="http://www.sec.gov/cgi-bin/browse-edgar?action=getcompany&amp;CIK=00010495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2026-02-24T13:34:37Z</dcterms:created>
  <dcterms:modified xsi:type="dcterms:W3CDTF">2026-02-24T13:34:37Z</dcterms:modified>
</cp:coreProperties>
</file>