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Henry David Philip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MKS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TECH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MKS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25"/>
        <w:spacing w:after="0"/>
        <w:rPr>
          <w:sz w:val="20"/>
          <w:szCs w:val="20"/>
          <w:color w:val="auto"/>
        </w:rPr>
      </w:pPr>
      <w:r>
        <w:rPr>
          <w:rFonts w:ascii="Times New Roman" w:cs="Times New Roman" w:eastAsia="Times New Roman" w:hAnsi="Times New Roman"/>
          <w:sz w:val="17"/>
          <w:szCs w:val="17"/>
          <w:color w:val="0000FF"/>
        </w:rPr>
        <w:t>EVP, Global Str Mktg &amp; GM, MSD</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ANDOVER</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1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1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06/01/2026</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6,000</w:t>
            </w:r>
          </w:p>
        </w:tc>
        <w:tc>
          <w:tcPr>
            <w:tcW w:w="2580" w:type="dxa"/>
            <w:vAlign w:val="bottom"/>
            <w:tcBorders>
              <w:bottom w:val="single" w:sz="8" w:color="2C2C2C"/>
            </w:tcBorders>
            <w:gridSpan w:val="7"/>
          </w:tcPr>
          <w:p>
            <w:pPr>
              <w:ind w:left="100"/>
              <w:spacing w:after="0"/>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314.4305</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10,421.527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4"/>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$314.2425 to $314.955. The price reported above reflects the weighted average sale price. The reporting person hereby undertakes to provide, upon request, the full information regarding the number of shares and prices at which the transaction was effected.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459"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2026-06-02T14:16:32Z</dcterms:created>
  <dcterms:modified xsi:type="dcterms:W3CDTF">2026-06-02T14:16:32Z</dcterms:modified>
</cp:coreProperties>
</file>