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mksi-20261102.htm"/>
      <w:bookmarkStart w:id="1" w:name="ksmksi20261102"/>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02,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MKS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000-23621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04-2277512</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53" w:type="dxa"/>
            <w:tcBorders/>
            <w:tcMar>
              <w:top w:w="0" w:type="dxa"/>
              <w:left w:w="0" w:type="dxa"/>
              <w:bottom w:w="0" w:type="dxa"/>
              <w:right w:w="0" w:type="dxa"/>
            </w:tcMar>
            <w:vAlign w:val="center"/>
          </w:tcPr>
          <w:p>
            <w:pPr>
              <w:pStyle w:val="TableContents"/>
              <w:bidi w:val="0"/>
              <w:spacing w:before="0" w:after="283"/>
              <w:jc w:val="center"/>
            </w:pPr>
            <w:r>
              <w:t> </w:t>
            </w:r>
          </w:p>
        </w:tc>
        <w:tc>
          <w:tcPr>
            <w:tcW w:w="864" w:type="dxa"/>
            <w:tcBorders/>
            <w:tcMar>
              <w:top w:w="0" w:type="dxa"/>
              <w:left w:w="0" w:type="dxa"/>
              <w:bottom w:w="0" w:type="dxa"/>
              <w:right w:w="0" w:type="dxa"/>
            </w:tcMar>
            <w:vAlign w:val="center"/>
          </w:tcPr>
          <w:p>
            <w:pPr>
              <w:pStyle w:val="TableContents"/>
              <w:bidi w:val="0"/>
              <w:spacing w:before="0" w:after="283"/>
              <w:jc w:val="center"/>
            </w:pPr>
            <w:r>
              <w:t> </w:t>
            </w:r>
          </w:p>
        </w:tc>
        <w:tc>
          <w:tcPr>
            <w:tcW w:w="868"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Tech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rPr>
                <w:sz w:val="4"/>
                <w:szCs w:val="4"/>
              </w:rPr>
            </w:pPr>
            <w:r>
              <w:rPr>
                <w:sz w:val="4"/>
                <w:szCs w:val="4"/>
              </w:rPr>
            </w:r>
          </w:p>
        </w:tc>
      </w:tr>
      <w:t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645-5500</w:t>
            </w:r>
          </w:p>
        </w:tc>
      </w:tr>
    </w:tbl>
    <w:p>
      <w:pPr>
        <w:pStyle w:val="TextBody"/>
        <w:bidi w:val="0"/>
        <w:jc w:val="left"/>
      </w:pPr>
      <w:r>
        <w:t> </w:t>
      </w:r>
    </w:p>
    <w:tbl>
      <w:tblPr>
        <w:tblW w:w="1426" w:type="dxa"/>
        <w:jc w:val="left"/>
        <w:tblInd w:w="0" w:type="dxa"/>
        <w:tblLayout w:type="fixed"/>
        <w:tblCellMar>
          <w:top w:w="28" w:type="dxa"/>
          <w:left w:w="28" w:type="dxa"/>
          <w:bottom w:w="28" w:type="dxa"/>
          <w:right w:w="28" w:type="dxa"/>
        </w:tblCellMar>
      </w:tblPr>
      <w:tblGrid>
        <w:gridCol w:w="1426"/>
      </w:tblGrid>
      <w:tr>
        <w:tc>
          <w:tcPr>
            <w:tcW w:w="1426" w:type="dxa"/>
            <w:tcBorders/>
            <w:vAlign w:val="center"/>
          </w:tcPr>
          <w:p>
            <w:pPr>
              <w:pStyle w:val="TableContents"/>
              <w:bidi w:val="0"/>
              <w:spacing w:before="0" w:after="283"/>
              <w:jc w:val="left"/>
              <w:rPr>
                <w:sz w:val="4"/>
                <w:szCs w:val="4"/>
              </w:rPr>
            </w:pPr>
            <w:r>
              <w:rPr>
                <w:sz w:val="4"/>
                <w:szCs w:val="4"/>
              </w:rPr>
            </w:r>
          </w:p>
        </w:tc>
      </w:tr>
      <w:t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MKSI</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18"/>
        </w:rPr>
      </w:pPr>
      <w:r>
        <w:rPr>
          <w:rFonts w:ascii="Times New Roman" w:hAnsi="Times New Roman"/>
          <w:color w:val="000000"/>
          <w:sz w:val="18"/>
        </w:rPr>
        <w:t>On November 4, 2026, MKS Inc. (the “Company”) announced its financial results for the quarter ended September 30, 2026. The full text of the press release is attached as Exhibit 99.1 to this Current Report on Form 8-K.</w:t>
      </w:r>
    </w:p>
    <w:p>
      <w:pPr>
        <w:pStyle w:val="TextBody"/>
        <w:bidi w:val="0"/>
        <w:jc w:val="left"/>
        <w:rPr>
          <w:rFonts w:ascii="Times New Roman" w:hAnsi="Times New Roman"/>
          <w:color w:val="000000"/>
          <w:sz w:val="18"/>
        </w:rPr>
      </w:pPr>
      <w:r>
        <w:rPr>
          <w:rFonts w:ascii="Times New Roman" w:hAnsi="Times New Roman"/>
          <w:color w:val="000000"/>
          <w:sz w:val="18"/>
        </w:rPr>
        <w:t>The information in this Item 2.02 and Exhibit 99.1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5.03 Amendments to Articles of Incorporation or Bylaws; Change in Fiscal Year.</w:t>
      </w:r>
    </w:p>
    <w:p>
      <w:pPr>
        <w:pStyle w:val="TextBody"/>
        <w:bidi w:val="0"/>
        <w:jc w:val="left"/>
        <w:rPr>
          <w:rFonts w:ascii="Times New Roman" w:hAnsi="Times New Roman"/>
          <w:color w:val="000000"/>
          <w:sz w:val="18"/>
        </w:rPr>
      </w:pPr>
      <w:r>
        <w:rPr>
          <w:rFonts w:ascii="Times New Roman" w:hAnsi="Times New Roman"/>
          <w:color w:val="000000"/>
          <w:sz w:val="18"/>
        </w:rPr>
        <w:t>On November 2, 2026, the Board of Directors (the “Board”) of the Company approved and adopted the Third Amended and Restated By-Laws of the Company (the “Third Amended and Restated By-Laws”), effective as of the same date. The Third Amended and Restated By-Laws, among other things, (i) reduce the threshold percentage of voting stock required to call a special meeting of shareholders from 40% to 25%, (ii) provide that such ownership threshold is measured on a net long basis, (iii) specify the evidence of ownership and other information that shareholders must provide when requesting to call a special meeting of shareholders, and (iv) incorporate various other administrative, technical, clarifying and conforming changes.</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The foregoing summary of the Third Amended and Restated By-Laws does not purport to be complete and is qualified in its entirety by reference to the full text of the Third Amended and Restated By-Laws, a copy of which is attached as Exhibit 3.1 to this Current Report on Form 8-K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18"/>
        </w:rPr>
      </w:pPr>
      <w:r>
        <w:rPr>
          <w:rFonts w:ascii="Times New Roman" w:hAnsi="Times New Roman"/>
          <w:color w:val="000000"/>
          <w:sz w:val="18"/>
        </w:rPr>
        <w:t>A copy of the press release relating to the matter described in Item 8.01 of this Current Report on Form 8-K is attached as Exhibit 99.2 to this Current Report on Form 8-K.</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The information in this Item 7.01 and Exhibit 99.2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18"/>
        </w:rPr>
      </w:pPr>
      <w:r>
        <w:rPr>
          <w:rFonts w:ascii="Times New Roman" w:hAnsi="Times New Roman"/>
          <w:color w:val="000000"/>
          <w:sz w:val="18"/>
        </w:rPr>
        <w:t xml:space="preserve">On November 2, 2026, the Board approved a new share repurchase program pursuant to which the Company may repurchase up to $500 million of its common stock (the “2026 Share Repurchase Program”). Repurchases may be made from time to time on the open market, in privately negotiated transactions, or by other appropriate means. The 2026 Share Repurchase Program became effective on November 2, 2026 and replaced the Company’s prior share repurchase program approved in July 2011, of which approximately $28 million remained available. The Board may suspend or terminate the 2026 Share Repurchase Program at any time.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18"/>
        </w:rPr>
      </w:pPr>
      <w:r>
        <w:rPr>
          <w:rFonts w:ascii="Times New Roman" w:hAnsi="Times New Roman"/>
          <w:color w:val="000000"/>
          <w:sz w:val="18"/>
        </w:rPr>
        <w:t>(d) Exhibits</w:t>
      </w:r>
    </w:p>
    <w:p>
      <w:pPr>
        <w:pStyle w:val="TextBody"/>
        <w:bidi w:val="0"/>
        <w:jc w:val="left"/>
      </w:pPr>
      <w:r>
        <w:t> </w:t>
      </w:r>
    </w:p>
    <w:p>
      <w:pPr>
        <w:pStyle w:val="TextBody"/>
        <w:bidi w:val="0"/>
        <w:spacing w:before="120" w:after="283"/>
        <w:jc w:val="left"/>
      </w:pPr>
      <w:r>
        <w:rPr>
          <w:rFonts w:ascii="Times New Roman" w:hAnsi="Times New Roman"/>
          <w:color w:val="000000"/>
          <w:sz w:val="18"/>
        </w:rPr>
        <w:t xml:space="preserve">3.1 </w:t>
      </w:r>
      <w:hyperlink w:anchor="mksi-ex3_1.htm">
        <w:r>
          <w:rPr>
            <w:rStyle w:val="InternetLink"/>
            <w:rFonts w:ascii="Times New Roman" w:hAnsi="Times New Roman"/>
            <w:color w:val="0000FF"/>
            <w:sz w:val="18"/>
            <w:u w:val="single"/>
          </w:rPr>
          <w:t>Third Amended and Restated By-Laws, effective November 2, 2026</w:t>
        </w:r>
      </w:hyperlink>
    </w:p>
    <w:p>
      <w:pPr>
        <w:pStyle w:val="TextBody"/>
        <w:bidi w:val="0"/>
        <w:spacing w:before="120" w:after="283"/>
        <w:jc w:val="left"/>
      </w:pPr>
      <w:r>
        <w:rPr>
          <w:rFonts w:ascii="Times New Roman" w:hAnsi="Times New Roman"/>
          <w:color w:val="000000"/>
          <w:sz w:val="18"/>
        </w:rPr>
        <w:t xml:space="preserve">99.1 </w:t>
      </w:r>
      <w:hyperlink w:anchor="mksi-ex99_1.htm">
        <w:r>
          <w:rPr>
            <w:rStyle w:val="InternetLink"/>
            <w:rFonts w:ascii="Times New Roman" w:hAnsi="Times New Roman"/>
            <w:color w:val="0000FF"/>
            <w:sz w:val="18"/>
            <w:u w:val="single"/>
          </w:rPr>
          <w:t>MKS Inc. Reports Third Quarter 2026 Financial Results</w:t>
        </w:r>
      </w:hyperlink>
    </w:p>
    <w:p>
      <w:pPr>
        <w:pStyle w:val="TextBody"/>
        <w:bidi w:val="0"/>
        <w:spacing w:before="120" w:after="283"/>
        <w:jc w:val="left"/>
      </w:pPr>
      <w:r>
        <w:rPr>
          <w:rFonts w:ascii="Times New Roman" w:hAnsi="Times New Roman"/>
          <w:color w:val="000000"/>
          <w:sz w:val="18"/>
        </w:rPr>
        <w:t xml:space="preserve">99.2 </w:t>
      </w:r>
      <w:hyperlink w:anchor="mksi-ex99_2.htm">
        <w:r>
          <w:rPr>
            <w:rStyle w:val="InternetLink"/>
            <w:rFonts w:ascii="Times New Roman" w:hAnsi="Times New Roman"/>
            <w:color w:val="0000FF"/>
            <w:sz w:val="18"/>
            <w:u w:val="single"/>
          </w:rPr>
          <w:t>MKS Inc. Announces $500 Million Share Repurchase Program and Declares Quarterly Cash Dividend</w:t>
        </w:r>
      </w:hyperlink>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104 Cover Page Interactive Data File (embedded within the Inline XBRL document)</w:t>
      </w:r>
    </w:p>
    <w:p>
      <w:pPr>
        <w:pStyle w:val="TextBody"/>
        <w:bidi w:val="0"/>
        <w:spacing w:before="120" w:after="283"/>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594" w:type="dxa"/>
        <w:jc w:val="left"/>
        <w:tblInd w:w="0" w:type="dxa"/>
        <w:tblLayout w:type="fixed"/>
        <w:tblCellMar>
          <w:top w:w="28" w:type="dxa"/>
          <w:left w:w="28" w:type="dxa"/>
          <w:bottom w:w="28" w:type="dxa"/>
          <w:right w:w="28" w:type="dxa"/>
        </w:tblCellMar>
      </w:tblPr>
      <w:tblGrid>
        <w:gridCol w:w="556"/>
        <w:gridCol w:w="1606"/>
        <w:gridCol w:w="451"/>
        <w:gridCol w:w="498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9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MKS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98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9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Ramakumar Mayampurath</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49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Ramakumar Mayampurath</w:t>
              <w:br/>
              <w:t xml:space="preserve">Title: Executive Vice President and Chief Financial Officer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 w:name="mksi-ex3_1.htm"/>
      <w:bookmarkStart w:id="3" w:name="ksmksiex3_1"/>
      <w:bookmarkEnd w:id="2"/>
      <w:bookmarkEnd w:id="3"/>
      <w:r>
        <w:rPr>
          <w:rFonts w:ascii="Times New Roman" w:hAnsi="Times New Roman"/>
          <w:b/>
          <w:color w:val="000000"/>
          <w:sz w:val="20"/>
        </w:rPr>
        <w:t>Exhibit 3.1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THIRD AMENDED AND RESTATED BY-LAWS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MKS INC. </w:t>
      </w:r>
    </w:p>
    <w:p>
      <w:pPr>
        <w:pStyle w:val="TextBody"/>
        <w:bidi w:val="0"/>
        <w:spacing w:before="240" w:after="283"/>
        <w:jc w:val="center"/>
        <w:rPr>
          <w:rFonts w:ascii="Times New Roman" w:hAnsi="Times New Roman"/>
          <w:sz w:val="20"/>
        </w:rPr>
      </w:pPr>
      <w:r>
        <w:rPr>
          <w:rFonts w:ascii="Times New Roman" w:hAnsi="Times New Roman"/>
          <w:color w:val="000000"/>
          <w:sz w:val="20"/>
        </w:rPr>
        <w:t>BY-LAWS</w:t>
        <w:br/>
        <w:br/>
      </w:r>
      <w:r>
        <w:rPr>
          <w:rFonts w:ascii="Times New Roman" w:hAnsi="Times New Roman"/>
          <w:color w:val="000000"/>
          <w:sz w:val="20"/>
          <w:u w:val="single"/>
        </w:rPr>
        <w:t>Table of Contents</w:t>
      </w:r>
      <w:r>
        <w:rPr>
          <w:rFonts w:ascii="Times New Roman" w:hAnsi="Times New Roman"/>
          <w:color w:val="000000"/>
          <w:sz w:val="20"/>
        </w:rPr>
        <w:t xml:space="preserve"> </w:t>
      </w:r>
    </w:p>
    <w:tbl>
      <w:tblPr>
        <w:tblW w:w="7492" w:type="dxa"/>
        <w:jc w:val="left"/>
        <w:tblInd w:w="0" w:type="dxa"/>
        <w:tblLayout w:type="fixed"/>
        <w:tblCellMar>
          <w:top w:w="28" w:type="dxa"/>
          <w:left w:w="28" w:type="dxa"/>
          <w:bottom w:w="28" w:type="dxa"/>
          <w:right w:w="28" w:type="dxa"/>
        </w:tblCellMar>
      </w:tblPr>
      <w:tblGrid>
        <w:gridCol w:w="1386"/>
        <w:gridCol w:w="146"/>
        <w:gridCol w:w="4621"/>
        <w:gridCol w:w="146"/>
        <w:gridCol w:w="146"/>
        <w:gridCol w:w="316"/>
        <w:gridCol w:w="731"/>
      </w:tblGrid>
      <w:t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6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731" w:type="dxa"/>
            <w:tcBorders/>
            <w:tcMar>
              <w:top w:w="0" w:type="dxa"/>
              <w:left w:w="0" w:type="dxa"/>
              <w:bottom w:w="0" w:type="dxa"/>
              <w:right w:w="0" w:type="dxa"/>
            </w:tcMar>
            <w:vAlign w:val="center"/>
          </w:tcPr>
          <w:p>
            <w:pPr>
              <w:pStyle w:val="TableContents"/>
              <w:bidi w:val="0"/>
              <w:spacing w:before="0" w:after="283"/>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c>
          <w:tcPr>
            <w:tcW w:w="73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476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39" w:type="dxa"/>
            <w:gridSpan w:val="4"/>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Business at Annual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Requirement of Notice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 and Proxies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Conduct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By Consent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Meetings by Remote Communication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Stockholder Action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 List for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476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3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476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39" w:type="dxa"/>
            <w:gridSpan w:val="4"/>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and Election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Enlargement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Vacancies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Removal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at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Without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Telephone Conference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Vice-Chairman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of Conduct for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Conflict of Interest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476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3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III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MANNER OF NOTICE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jc w:val="left"/>
            </w:pPr>
            <w:r>
              <w:t> </w:t>
            </w:r>
          </w:p>
        </w:tc>
        <w:tc>
          <w:tcPr>
            <w:tcW w:w="476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3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IV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Enumeration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3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3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Qualification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tbl>
      <w:tblPr>
        <w:tblW w:w="6832" w:type="dxa"/>
        <w:jc w:val="left"/>
        <w:tblInd w:w="0" w:type="dxa"/>
        <w:tblLayout w:type="fixed"/>
        <w:tblCellMar>
          <w:top w:w="28" w:type="dxa"/>
          <w:left w:w="28" w:type="dxa"/>
          <w:bottom w:w="28" w:type="dxa"/>
          <w:right w:w="28" w:type="dxa"/>
        </w:tblCellMar>
      </w:tblPr>
      <w:tblGrid>
        <w:gridCol w:w="1506"/>
        <w:gridCol w:w="146"/>
        <w:gridCol w:w="3781"/>
        <w:gridCol w:w="146"/>
        <w:gridCol w:w="146"/>
        <w:gridCol w:w="316"/>
        <w:gridCol w:w="791"/>
      </w:tblGrid>
      <w:tr>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8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Removal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Vacancies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Treasurer and Assistant Treasurers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 and Assistant Secretaries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of Conduct for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RELATING TO SHARES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Consideration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Certificates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Uncertificated Shares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Record and Beneficial Owners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Replacement of Certificates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VI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RECORDS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Records to be Kept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Inspection of Records by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Scope of Inspection Right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Inspection of Records by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VII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 of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Checks, Notes, Drafts and Other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Authority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Articles of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Pronouns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 Control Share Acquisition Act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6" w:type="dxa"/>
            <w:tcBorders/>
            <w:tcMar>
              <w:top w:w="0" w:type="dxa"/>
              <w:left w:w="0" w:type="dxa"/>
              <w:bottom w:w="0" w:type="dxa"/>
              <w:right w:w="0" w:type="dxa"/>
            </w:tcMar>
            <w:vAlign w:val="center"/>
          </w:tcPr>
          <w:p>
            <w:pPr>
              <w:pStyle w:val="TableContents"/>
              <w:bidi w:val="0"/>
              <w:spacing w:before="0" w:after="283"/>
              <w:jc w:val="left"/>
            </w:pPr>
            <w:r>
              <w:t> </w:t>
            </w:r>
          </w:p>
        </w:tc>
        <w:tc>
          <w:tcPr>
            <w:tcW w:w="392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399" w:type="dxa"/>
            <w:gridSpan w:val="4"/>
            <w:tcBorders/>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5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ARTICLE VIII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ii -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120" w:after="283"/>
        <w:jc w:val="center"/>
        <w:rPr>
          <w:rFonts w:ascii="Times New Roman" w:hAnsi="Times New Roman"/>
          <w:sz w:val="20"/>
        </w:rPr>
      </w:pPr>
      <w:r>
        <w:rPr>
          <w:rFonts w:ascii="Times New Roman" w:hAnsi="Times New Roman"/>
          <w:b/>
          <w:color w:val="000000"/>
          <w:sz w:val="20"/>
        </w:rPr>
        <w:t>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Annual Meeting</w:t>
      </w:r>
      <w:r>
        <w:rPr>
          <w:rFonts w:ascii="Times New Roman" w:hAnsi="Times New Roman"/>
          <w:color w:val="000000"/>
          <w:sz w:val="20"/>
        </w:rPr>
        <w:t xml:space="preserve">. The Corporation shall hold an annual meeting of stockholders at a time to be fixed by the Board of Directors, the Chief Executive Officer or the President and stated in the notice of the meeting. The purposes for which the annual meeting is to be held, in addition to those prescribed by the Articles of Organization, shall be for electing Directors and for such other purposes as shall be specified in the notice for the meeting, and only business within such purposes may be conducted at the meeting. In the event an annual meeting is not held at the time fixed in accordance with these By-Laws or the time for an annual meeting is not fixed in accordance with these By-Laws to be held within 13 months after the last annual meeting, the Corporation may designate a special meeting as a special meeting in lieu of the annual meeting, and such meeting shall have all of the effect of an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Notice of Business at Annual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At any annual meeting of the stockholders, only such business shall be conducted as shall have been properly brought before the meeting. To be properly brought before an annual meeting, business must be specified in the notice of meeting (or any supplement thereto) given by or at the direction of the Board of Directors. For business to be properly brought before an annual meeting by a stockholder, (i) if such business relates to the nomination of a person for election as a Director of the Corporation, the procedures in Section 1.9 must be complied with and (ii) if such business relates to any other matter, the business must constitute a proper matter under Massachusetts law for stockholder action and the stockholder must (x) have given timely notice thereof in writing to the Secretary in accordance with the procedures in Section 1.2(b), (y) be a stockholder of record on the date of the giving of such notice and on the record date for the determination of stockholders entitled to vote at such annual meeting and (z) be entitled to vote at such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 In no event shall the adjournment or postponement of an annual meeting (or the public announcement thereof) commence a new time period (or extend any time period) for the giving of a stockholder’s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the name and address of such beneficial owner, (2) the class and number of shares of stock of the Corporation which are, directly or indirectly, owned, beneficially or of record, by such stockholder and such beneficial owner, (3) a description of any material financial interest of such stockholder or such beneficial owner and the respective Affiliates and Associates of, or others Acting in Concert (as defined below) with, such stockholder or such beneficial owner in such business, (4) a description of any agreement, arrangement or understanding (whether or not in writing) between or among such stockholder, such beneficial owner and/or any Stockholder Associated Person (as defined below) and each proposed nominee or any other person or persons (including their names) in connection with the proposal of such business or who may participate in the solicitation of proxies in favor of such proposal, (5) a description of any agreement, arrangement or understanding (whether or not in writing)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(x) the effect or intent of which is to mitigate loss to, manage risk or benefit of share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for, or increase or decrease the voting power of, such stockholder, such beneficial owner and/or any Stockholder Associated Person with respect to shares of stock of the Corporation, or (y) otherwise relating to acquiring, holding, voting or disposing of any shares of capital stock of the Corporation, including the number of shares that are subject to such agreement, arrangement or understanding, (6) any other information relating to such stockholder, such beneficial owner and/or any Stockholder Associated Person that would be required to be disclosed in a proxy statement or other filings required to be made in connection with solicitations of proxies for the business proposed pursuant to Section 14 of the Securities Exchange Act of 1934, as amended (the “Exchange Act”) and the rules and regulations promulgated thereunder, (7) a representation that such stockholder intends to appear in person or by proxy at the annual meeting to bring such business before the meeting and (8) a representation whether such stockholder, such beneficial owner and/or any Stockholder Associated Person intends or is part of a group which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from stockholders in support of such proposal (and such representation shall be included in any such solicitation materials). Not later than 10 days after the record date for the meeting, the stockholder giving such notice shall provide an update, as of the record date, of the information required by Items (A)(3) and (B)(1)-(6) of the prior sentence. Notwithstanding anything in these By-Laws to the contrary, no business shall be conducted at any annual meeting of stockholders except in accordance with the procedures in this Section 1.2; provided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1.2. A stockholder shall not have complied with this Section 1.2(b) if the stockholder, beneficial owner and/or Stockholder Associated Person solicits or does not solicit, as the case may be, proxies in support of such stockholder’s proposal in contravention of the representations with respect thereto required by this Section 1.2.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The chairman of any annual meeting shall have the power and duty to determine whether business was properly brought before the annual meeting in accordance with the provisions of this Section 1.2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1.2), and if the chairman should determine that business was not properly brought before the annual meeting in accordance with the provisions of this Section 1.2, the chairman shall so declare to the meeting and such business shall not be brought before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Except as otherwise required by law, nothing in this Section 1.2 shall obligate the Corporation or the Board of Directors to include in any proxy statement or other stockholder communication distributed on behalf of the Corporation or the Board of Directors information with respect to any proposal submitted by a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Notwithstanding the foregoing provisions of this Section 1.2,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 For purposes of this Section 1.2,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 For purposes of this Section 1.2: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“public disclosure” shall include disclosure in a press release reported by the Dow Jones News Service, Associated Press or comparable national news service or in a document publicly filed by the Corporation with the Securities and Exchange Commission pursuant to Sections 13, 14 or 15(d)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A person shall be deemed to be “Acting in Concert” with another person if such person knowingly acts pursuant to an agreement, arrangement or understanding (whether or not in writing) in concert with, or toward a common goal relating to the management, governance or control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- 2 -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corporation in substantial parallel with, such other person;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and </w:t>
      </w:r>
    </w:p>
    <w:p>
      <w:pPr>
        <w:pStyle w:val="TextBody"/>
        <w:bidi w:val="0"/>
        <w:jc w:val="left"/>
        <w:rPr>
          <w:rFonts w:ascii="Times New Roman" w:hAnsi="Times New Roman"/>
          <w:color w:val="000000"/>
          <w:sz w:val="20"/>
        </w:rPr>
      </w:pPr>
      <w:r>
        <w:rPr>
          <w:rFonts w:ascii="Times New Roman" w:hAnsi="Times New Roman"/>
          <w:color w:val="000000"/>
          <w:sz w:val="20"/>
        </w:rPr>
        <w:t xml:space="preserve">(iii) The terms “Affiliate” and “Associate” shall have the meanings given in Rule 12b-2 under the Exchange Act.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Special Meetings</w:t>
      </w:r>
      <w:r>
        <w:rPr>
          <w:rFonts w:ascii="Times New Roman" w:hAnsi="Times New Roman"/>
          <w:color w:val="000000"/>
          <w:sz w:val="20"/>
        </w:rPr>
        <w:t xml:space="preserve">. Special meetings of stockholders may be called by the President or by the Board of Directors. In addition, upon written application made in accordance with this Section 1.3 of one or more stockholders who are entitled to vote and who hold at least the Required Percentage (as defined below) of the capital stock entitled to vote at the meeting, special meetings shall be called by the Secretary, or in case of the death, absence, incapacity or refusal of the Secretary, by any other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business within the purpose or purposes described in the meeting notice may be conducted at a special meeting of stockholders, provided that nothing herein shall prohibit the Board of Directors from submitting matters to the stockholders at any stockholder requested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this Section 1.3, the “Required Percentage” shall consist of “Net Long Beneficial Ownership” (as defined below) as of the relevant Call Request Record Date (as defined below) of at least (i) 10% at any time at which the Corporation shall not have a class of voting stock registered under the Exchange Act, and (ii) 25% at any time at which the Corporation shall have a class of voting stock registered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this Section 1.3 and determining whether the Required Percentage has been satisfied, Net Long Beneficial Ownership shall mean those shares of voting stock as to which the stockholder in question possesses (x) the sole power to vote or direct the voting, (y) the sole economic incidents of ownership (including the sole right to profits and the sole risk of loss), and (z) the sole power to dispose of or direct the disposition of. The number of shares calculated in accordance with clauses (x), (y) and (z) shall not include any shares (1) sold by such stockholder in any transaction that has not been settled or closed, (2) borrowed by such stockholder for any purposes or purchased by such stockholder pursuant to an agreement to resell or (3) subject to any option, warrant, derivative or other agreement or understanding, whether any such arrangement is to be settled with shares of voting stock or with cash based on the notional amount of shares subject thereto, in any such case which has, or is intended to have, the purpose or effect of (A) reducing in any manner, to any extent or at any time in the future, such stockholder’s rights to vote or direct the voting and full rights to dispose or direct the disposition of any of such shares or (B) offsetting to any degree gain or loss arising from the sole economic ownership of such shares by such stockholder. Whether the stockholder has Net Long Beneficial Ownership with respect to any shares of voting stock shall be decided by the Board of Directors in its reasonable determination.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request for a call of a special meeting of stockholders (a “Call”) by the holders of the Required Percentage of the capital stock entitled to vote at the meeting (the “Voting Stock”) shall be governed by and subject to the following: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Any stockholder of record seeking to solicit requests for a Call pursuant to this Section 1.3 shall so notify the Corporation in writing to the Secretary of the Corporation and such written notification shall set forth the reason or reasons for the Call and the purpose of such special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No solicitation of stockholder requests for a Call (a “Call Solicitation”) may be conducted (i) before the Call Request Record Date (as defined in paragraph (c) of this Section 1.3) or (ii) during the period of 90 days following the most recent meeting of the stockholders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In order that the Corporation may determine the stockholders entitled to request a Call, the Board of Directors of the Corporation shall fix a record date (the “Call Request Record Date”). Any stockholder of record seeking to solicit stockholder requests for a Call shall, with delivery to the Corporation of the written information specified in paragraph (a), request in writing that the Board of Directors fix the Call Request Record Date. The Board of Directors shall, within 10 days after the date on which such request is received, adopt a resolution fixing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- 3 -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Call Request Record Date and such Call Request Record Date shall be not more than 10 days after the date upon which such resolution is adopted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All requests for a Call and revocations thereof shall be signed by the Required Percentage of record holders (or their duly authorized agents) and delivered to the Corporation no later than the 30th day (the “Delivery Date”) after the Call Request Record Date. To be validly made in accordance with these By-Laws, the stockholders seeking to solicit requests for a Call pursuant to this Section 1.3 must: (i) include documentary evidence of each such stockholder’s record and beneficial ownership of such capital stock and (ii) contain (y) with respect to each matter the stockholder proposes to bring before the special meeting, and as to each stockholder requesting a Call and the beneficial owner, if any, on whose behalf the request is being made, the information required by Section 1.2(b) of these By-Laws and (z) in the case the Call includes a nomination of one or more persons to the Board, with respect to each stockholder requesting a Call and the beneficial owner, if any, on whose behalf the request for a Call is being made, and with respect to each nominee, the information required by Section 1.9(b)(ii) of these By-Laws, to the extent not already provided as required by this Section 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 Any stockholder may revoke a prior request for a Call or opposition to a Call by an instrument in writing delivered prior to the Delivery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 Promptly after the Delivery Date, requests for a Call and revocations thereof shall be counted and verified by an independent party selected by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 If, in response to any Call Solicitation, the holders of record of the Required Percentage of the Voting Stock as of the Call Request Record Date submit valid and unrevoked requests for a Call no later than the Delivery Date, the Board of Directors of the Corporation shall fix a record date pursuant to Section 1.12 hereof and a meeting date for the special meeting; provided that the date to be fixed for such meeting shall be no earlier than 60 days or later than 90 days after the Delivery Date; and provided, further, that the Board of Directors shall not be obligated to fix a meeting date or to hold any meeting of stockholders within 60 days of the next scheduled meeting of the stockholders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 In the absence of a quorum at any special meeting called pursuant to this Section 1.3, such special meeting may be postponed or adjourned from time to time only by the officer of the Corporation entitled to preside at such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Place of Meetings</w:t>
      </w:r>
      <w:r>
        <w:rPr>
          <w:rFonts w:ascii="Times New Roman" w:hAnsi="Times New Roman"/>
          <w:color w:val="000000"/>
          <w:sz w:val="20"/>
        </w:rPr>
        <w:t xml:space="preserve">. All meetings of stockholders shall be held at the principal office of the Corporation unless a different place is fixed by the Board of Directors, the Chief Executive Officer or the President and specified in the notice of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Requirement of Notice</w:t>
      </w:r>
      <w:r>
        <w:rPr>
          <w:rFonts w:ascii="Times New Roman" w:hAnsi="Times New Roman"/>
          <w:color w:val="000000"/>
          <w:sz w:val="20"/>
        </w:rPr>
        <w:t xml:space="preserve">. A written notice of the date, time and place of each annual and special stockholders’ meeting describing the purposes of the meeting shall be given by or at the direction of the Board of Directors to stockholders entitled to vote at the meeting (and, to the extent required by law or the Articles of Organization, to stockholders not entitled to vote at the meeting) no fewer than seven nor more than 60 days before the meeting date. If an annual or special meeting of stockholders is adjourned to a different date, time or place, notice need not be given of the new date, time or place if the new date, time or place is announced at the meeting before adjournment. If a new record date for the adjourned meeting is fixed, however, notice of the adjourned meeting shall be given under this Section 1.5 to persons who are stockholders as of the new record date. All notices to stockholders shall conform to the requirements of Article III of these By-Laws.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Waiver of Notice</w:t>
      </w:r>
      <w:r>
        <w:rPr>
          <w:rFonts w:ascii="Times New Roman" w:hAnsi="Times New Roman"/>
          <w:color w:val="000000"/>
          <w:sz w:val="20"/>
        </w:rPr>
        <w:t xml:space="preserve">. A stockholder may waive any notice required by law, the Articles of Organization or these By-Laws before or after the date and time stated in the notice. The waiver shall be in writing, be signed by the stockholder entitled to the notice, and be delivered to the Corporation for inclusion with the records of the meeting. A stockholder’s attendance at a meeting: (a) waives objection to lack of notice or defective notice of the meeting, unless the stockholder at the beginning of the meeting objects to holding the meeting or transacting business at the meeting; and (b) waives objection to consideration of a particular matter at the meeting that is not within the purpose or purposes described in the meeting notice, unless the stockholder objects to considering the matter when it is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- 4 -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Quorum</w:t>
      </w:r>
      <w:r>
        <w:rPr>
          <w:rFonts w:ascii="Times New Roman" w:hAnsi="Times New Roman"/>
          <w:color w:val="000000"/>
          <w:sz w:val="20"/>
        </w:rPr>
        <w:t xml:space="preserve">. The holder or holders of a majority in interest of all stock issued, outstanding, and entitled to vote at a meeting, present in person or represented by proxy, shall constitute a quorum, but the majority of a lesser interest so present may, from time to time, postpone to a new time or place any meeting and the postponed meeting may be held without further notice, except as provided in Section 1.5.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Voting and Proxies</w:t>
      </w:r>
      <w:r>
        <w:rPr>
          <w:rFonts w:ascii="Times New Roman" w:hAnsi="Times New Roman"/>
          <w:color w:val="000000"/>
          <w:sz w:val="20"/>
        </w:rPr>
        <w:t xml:space="preserve">. Each stockholder entitled to vote shall have one vote, to be exercised in person or by proxy, for each share of stock held by him, and a proportionate vote for a fractional share. When a quorum is present at any meeting the vote of the holders of a majority in interest of the stock represented which is entitled to vote and voting shall decide any matter properly brought before the meeting, except in the case of elections by stockholders, which shall be decided by a plurality of the votes cast by stockholders entitled to vote at the election, and except when a larger vote is required by law, the Articles of Organization or these By-Laws. No vote need be taken by ballot unless so requested by any stockholder entitled to vote thereon. Proxies must be in writing and filed with the Secretary of the meeting before being voted. The person named in a proxy may vote at any adjournment of the meeting for which the proxy was given, but the proxy shall terminate after final adjournment of the meeting. Except to the extent permitted by law, no proxy dated more than eleven months before the meeting named in it shall be valid. A proxy purporting to be executed by or on behalf of a stockholder shall be deemed valid unless challenged at or prior to its exercise and the burden of proving invalidity shall rest on the challenger. A proxy with respect to stock held in the name of two or more persons shall be valid if executed by any one of them unless at or prior to the exercise of the proxy the Corporation receives a specific notice to the contrary from any one of them. Inspectors of election, if any, shall be appointed by the Board of Directors or, in the absence of such appointment, by the officer presiding at any meeting of the stockholders. Any person directly or indirectly soliciting proxies from stockholders of the Corporation must use a proxy card color other than white, the color white being reserved for the exclusive use of the Board of Directors. </w:t>
      </w:r>
    </w:p>
    <w:p>
      <w:pPr>
        <w:pStyle w:val="TextBody"/>
        <w:bidi w:val="0"/>
        <w:jc w:val="left"/>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Nomination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Except for (1) any Directors entitled to be elected by the holders of any class or series of Preferred Stock, (2) any Directors elected by the Board of Directors in accordance with Section 2.5 of these By-Laws to fill vacancies or newly created directorships or (3) as otherwise required by applicable law or stock exchange regulation, only persons who are nominated in accordance with the procedures in this Section 1.9 shall be eligible for election as Directors. Nomination for election to the Board of Directors at a meeting of stockholders may be made only (i) by or at the direction of the Board of Directors, or (ii) by any stockholder of the Corporation who (x) has given timely notice thereof in writing and in proper form to the Secretary in accordance with the procedures set forth in, and otherwise complies with, this Section 1.9, (y) is a stockholder of record who is entitled to vote for the election of such nominee on the date of the giving of such notice and on the record date for the determination of stockholders entitled to vote at such meeting and (z) is entitled to vote at such meeting. The number of nominees a stockholder may nominate for election at a meeting on its own behalf (or in the case of one or more stockholders giving the notice on behalf of a beneficial owner, the number of nominees such stockholders may collectively nominate for election at the meeting on behalf of such beneficial owner) shall not exceed the number of Directors to be elected at such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 To be timely, a stockholder’s notice of a nomination submitted in accordance with the provisions of this Section 1.9(b)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(A) the 90th day prior to such annual meeting and (B) the seventh day following the day on which notice of the date of such annual meeting was given or public disclosure of the date of such annual meeting was made, whichever first occurs; or (ii) in the case of an election of Directors at a special meeting of stockholders, provided that the Board of Directors has determined that Directors shall be elected at such meeting, not earlier than the 120th day prior to such special meeting and not later than the close of business on the later of (x) the 90th day prior to such special meeting and (y) the seventh day following the day on which notice of the date of such special meeting was given or public disclosure of the date of such special meeting was made, whichever first occurs. In no event shall the adjournment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- 5 -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postponement of a stockholders’ meeting (or the public disclosure thereof) commence a new time period (or extend any time period) for the giving of a stockholder’s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To be in proper form, the stockholder’s notice to the Secretary shall set forth: (A) as to each proposed nominee (1) such person’s name, age, business address and, if known, residence address, (2) such person’s principal occupation and employment at present and during the past five years, (3) the class (and, if applicable, series) and number of shares of stock of the Corporation which are directly or indirectly, owned, beneficially or of record by such person, (4) a description of all direct and indirect compensation and other material monetary agreements, arrangements and understandings during the past three years, between or among (x) the stockholder, the beneficial owner, if any, on whose behalf the nomination is being made and the respective Affiliates and Associates of, or others Acting in Concert with, such stockholder and/or such beneficial owner (each, a “Stockholder Associated Person”), on the one hand, and (y) each proposed nominee, and such nominee’s respective Affiliates and Associates, or others Acting in Concert with such nominee(s), on the other hand, including all information that would be required to be disclosed pursuant to Item 404 of Regulation S-K under the Exchange Act if the stockholder making the nomination and any beneficial owner on whose behalf the nomination is made or any Stockholder Associated Person were the “registrant” for purposes of such Item and the proposed nominee were a director or executive officer of such registrant, and (5) any other information concerning such person that must be disclosed as to nominees in proxy solicitations pursuant to Regulation 14A under the Exchange Act; and (B) as to the stockholder giving the notice and the beneficial owner, if any, on whose behalf the nomination is being made, (1) the stockholder’s name and address, as they appear on the Corporation’s books, and the name and address of such beneficial owner, (2) the class (and, if applicable series) and number of shares of stock of the Corporation which are directly or indirectly, owned, beneficially or of record, by such stockholder and such beneficial owner, (3) a description of any material financial interest related to the nomination of such stockholder, such beneficial owner and/or any Stockholder Associated Person, (4) a description of any agreement, arrangement or understanding (whether or not in writing) between or among such stockholder, such beneficial owner and/or any Stockholder Associated Person and each proposed nominee or any other person or persons (including their names) pursuant to which the nomination(s) are being made or who may participate in the solicitation of proxies or votes in favor of electing such nominee(s), (5) a description of any agreement, arrangement or understanding (whether or not in writing)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(x) the effect or intent of which is to mitigate loss to, manage risk or benefit of share price changes for, or increase or decrease the voting power of, such stockholder, such beneficial owner and/or any Stockholder Associated Person with respect to shares of stock or other securities of the Corporation or (y) otherwise relating to acquiring, holding, voting or disposing of any shares of capital stock of the Corporation, including the number of shares that are subject to such agreement, arrangement or understanding, (6) any other information relating to such stockholder, such beneficial owner and/or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(7) a representation that such stockholder intends to appear in person or by proxy at the meeting to nominate the person(s) named in its notice, (8) a representation that such stockholder, such beneficial owner and/or any Stockholder Associated Person has complied, and will comply, with all applicable requirements of state law and the Exchange Act with respect to matters set forth in this Section 1.9, and (9) a representation as to whether or not such stockholder, such beneficial owner and/or any Stockholder Associated Person intends or is part of a group which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(B)(1)-(6) of the prior sentence shall be supplemented by the stockholder giving the notice to provide updated information as of the record date. In addition, to be effective, the stockholder’s notice must also be accompanied by the written consent of the proposed nominee to being named in the Corporation’s proxy statement and accompanying proxy card as a nominee and to serve as a Director if elected. The Corporation may require any proposed nominee to furnish such other information as the Corporation may reasonably require to determine, among other things, the eligibility of such proposed nominee to serve as a Director of the Corporation or whether such nominee would be independent under applicable Securities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- 6 -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Exchange Commission and stock exchange rules and the Corporation’s publicly disclosed Corporate Governance Guidelines. Notwithstanding anything herein to the contrary, a stockholder shall not have complied with this Section 1.9(b) if the stockholder, or beneficial owner and/or any Stockholder Associated Person solicits or does not solicit, as the case may be, proxies or votes in support of such stockholder’s nominee in contravention of the representations with respect thereto required by this Section 1.9(b).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notice must also be accompanied by 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 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 Exchange Act in accordance with the following sentence),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shall be disregarded).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Section 1.9(b) shall be supplemented by the stockholder giving the notice (i) not later than 10 days after the record date for the meeting, to provide updated information as of such record date and (ii) not later than 10 days before the date for the meeting or any adjournment or postponement thereof, to provide updated information as of the date that is 15 days before such meeting or any adjournment or postponement thereof; provided, that no such supplement shall cure or affect the accuracy (or inaccuracy) of any representations made by any stockholder, beneficial owner, nominee or other Stockholder Associated Person or the validity (or invalidity) of any nomination that failed to comply with this Section 1.9 or is rendered invalid as a result of any inaccuracy therein. 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business days prior to the applicable meeting, reasonable evidence that it has met the requirements of Rule 14a-19(a)(3)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The chairman of any meeting (and, in advance of any meeting, the Board of Directors) shall have the power and duty to determine whether a nomination was made in accordance with the provisions of this Section 1.9 (including whether the stockholder, beneficial owner and/or any Stockholder Associated Person did or did not so solicit, as the case may be, proxies or votes in support of such stockholder’s nominee in compliance with the representations with respect thereto required by this Section 1.9), and if the chairman (or the Board of Directors) should determine that a nomination was not made in accordance with the provisions of this Section 1.9, the chairman shall so declare to the meeting and such nomination shall not be brought before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Except as otherwise required by law (including Rule 14a-19 under the Exchange Act), nothing in this Section 1.9 shall obligate the Corporation or the Board of Directors to include in any notice of meeting, proxy statement, proxy card or other stockholder communication distributed on behalf of the Corporation or the Board of Directors the name of and other information with respect to any nominee for Director submitted by a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Notwithstanding the foregoing provisions of this Section 1.9,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 For purposes of this Section 1.9, the terms “Acting in Concert,” “Affiliate,” “Associate,” “qualified representative of the stockholder,” and “public disclosure” shall have the same meaning as in Section 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- 7 -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1.10. </w:t>
      </w:r>
      <w:r>
        <w:rPr>
          <w:rFonts w:ascii="Times New Roman" w:hAnsi="Times New Roman"/>
          <w:color w:val="000000"/>
          <w:sz w:val="20"/>
          <w:u w:val="single"/>
        </w:rPr>
        <w:t>Conduct of Meetings</w:t>
      </w:r>
      <w:r>
        <w:rPr>
          <w:rFonts w:ascii="Times New Roman" w:hAnsi="Times New Roman"/>
          <w:color w:val="000000"/>
          <w:sz w:val="20"/>
        </w:rPr>
        <w:t xml:space="preserve">. The Board of Directors may adopt by resolution such rules, regulations and procedures for the conduct of any meeting of stockholders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their duly authorized and constituted proxies or attorneys or such other persons as shall be determined; (d) restrictions on entry to the meeting after the time fixed for the commencement thereof; and (e)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1.11. </w:t>
      </w:r>
      <w:r>
        <w:rPr>
          <w:rFonts w:ascii="Times New Roman" w:hAnsi="Times New Roman"/>
          <w:color w:val="000000"/>
          <w:sz w:val="20"/>
          <w:u w:val="single"/>
        </w:rPr>
        <w:t>Action By Consent</w:t>
      </w:r>
      <w:r>
        <w:rPr>
          <w:rFonts w:ascii="Times New Roman" w:hAnsi="Times New Roman"/>
          <w:color w:val="000000"/>
          <w:sz w:val="20"/>
        </w:rPr>
        <w:t xml:space="preserve">. Any action required or permitted to be taken by stockholders may be taken without a meeting if all stockholders entitled to vote on the matter consent in writing to the action and such written consents are filed with the records of the meetings of stockholders. Such consents shall be treated for all purposes as a vote at a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1.12. </w:t>
      </w:r>
      <w:r>
        <w:rPr>
          <w:rFonts w:ascii="Times New Roman" w:hAnsi="Times New Roman"/>
          <w:color w:val="000000"/>
          <w:sz w:val="20"/>
          <w:u w:val="single"/>
        </w:rPr>
        <w:t>Record Date</w:t>
      </w:r>
      <w:r>
        <w:rPr>
          <w:rFonts w:ascii="Times New Roman" w:hAnsi="Times New Roman"/>
          <w:color w:val="000000"/>
          <w:sz w:val="20"/>
        </w:rPr>
        <w:t xml:space="preserve">. The Board of Directors may fix the record date in order to determine the stockholders entitled to notice of a stockholders’ meeting, to demand a special meeting, to vote or to take any other action. If a record date for a specific action is not fixed by the Board of Directors, and is not supplied by law, except as provided for in Section 1.3, the record date shall be (a) the close of business either on the day before the first notice is sent to stockholders, or, if no notice is sent, on the day before the meeting or (b) in the case of action without a meeting by written consent, the date the first stockholder signs the consent or (c) for purposes of determining stockholders entitled to demand a special meeting of stockholders, the date the first stockholder signs the demand or (d) for purposes of determining stockholders entitled to a distribution, other than one involving a purchase, redemption or other acquisition of the Corporation’s shares, the date the Board of Directors authorizes the distribution. A record date fixed under this Section 1.12 may not be more than 70 days before the meeting or action requiring a determination of stockholders. A determination of stockholders entitled to notice of or to vote at a stockholders’ meeting is effective for any adjournment of the meeting unless the Board of Directors fixes a new record date, which it shall do if the meeting is adjourned to a date more than 120 days after the date fixed for the original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1.13. </w:t>
      </w:r>
      <w:r>
        <w:rPr>
          <w:rFonts w:ascii="Times New Roman" w:hAnsi="Times New Roman"/>
          <w:color w:val="000000"/>
          <w:sz w:val="20"/>
          <w:u w:val="single"/>
        </w:rPr>
        <w:t>Meetings by Remote Communication</w:t>
      </w:r>
      <w:r>
        <w:rPr>
          <w:rFonts w:ascii="Times New Roman" w:hAnsi="Times New Roman"/>
          <w:color w:val="000000"/>
          <w:sz w:val="20"/>
        </w:rPr>
        <w:t xml:space="preserve">. Unless otherwise provided in the Articles of Organization, if authorized by the Board of Directors: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provided that: (1) the Corporation shall implement reasonable measures to verify that each person deemed present and permitted to vote at the meeting by means of remote communication is a stockholder or proxyholder; (2)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(3) if any stockholder or proxyholder votes or takes other action at the meeting by means of remote communication, a record of such vote or other action shall be maintained by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1.14. </w:t>
      </w:r>
      <w:r>
        <w:rPr>
          <w:rFonts w:ascii="Times New Roman" w:hAnsi="Times New Roman"/>
          <w:color w:val="000000"/>
          <w:sz w:val="20"/>
          <w:u w:val="single"/>
        </w:rPr>
        <w:t>Form of Stockholder Action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Any vote, consent, waiver, proxy appointment or other action by a stockholder or by the proxy or other agent of any stockholder shall be considered given in writing, dated and signed, if, in lieu of any other means permitted by law, it consists of an electronic transmission that sets forth or is delivered with information from which the Corporation can determine (1) that the electronic transmission was transmitted by the stockholder, proxy or agent or by a person authorized to act for the stockholder, proxy or agent; and (2) the date on which such stockholder, proxy, agent or authorized person transmitted the electronic transmission. The date on which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- 8 -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electronic transmission is transmitted shall be considered to be the date on which it was signed. The electronic transmission shall be considered received by the Corporation if it has been sent to any address specified by the Corporation for the purpose or, if no address has been specified, to the principal office of the Corporation, addressed to the Secretary or other officer or agent having custody of the records of proceedings of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Any copy, facsimile or other reliable reproduction of a vote, consent, waiver, proxy appointment or other action by a stockholder or by the proxy or other agent of any stockholder may be substituted or used in lieu of the original writing for any purpose for which the original writing could be used, but the copy, facsimile or other reproduction shall be a complete reproduction of the entire original writing.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1.15. </w:t>
      </w:r>
      <w:r>
        <w:rPr>
          <w:rFonts w:ascii="Times New Roman" w:hAnsi="Times New Roman"/>
          <w:color w:val="000000"/>
          <w:sz w:val="20"/>
          <w:u w:val="single"/>
        </w:rPr>
        <w:t>Stockholder List for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After fixing a record date for a stockholders’ meeting, the Corporation shall prepare an alphabetical list of the names of all its stockholders who are entitled to notice of the meeting. The list shall be arranged by voting group, and within each voting group by class or series of shares, and show the address of and number of shares held by each stockholder, but need not include an electronic mail address or other electronic contact information for any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The list of stockholders shall be available for inspection by any stockholder, beginning two business days after notice is given of the meeting for which the list was prepared and continuing through the meeting: (1) at the Corporation’s principal office or at a place identified in the meeting notice in the city where the meeting will be held; or (2) on a reasonably accessible electronic network, provided that the information required to gain access to such list is provided with the notice of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A stockholder or his or her agent or attorney is entitled on written demand to inspect and, subject to the requirements of Section 6.2(c) of these By-Laws, to copy the list, during regular business hours and at his or her expense, during the period it is available for inspection. </w:t>
      </w:r>
    </w:p>
    <w:p>
      <w:pPr>
        <w:pStyle w:val="TextBody"/>
        <w:bidi w:val="0"/>
        <w:jc w:val="left"/>
        <w:rPr>
          <w:rFonts w:ascii="Times New Roman" w:hAnsi="Times New Roman"/>
          <w:color w:val="000000"/>
          <w:sz w:val="20"/>
        </w:rPr>
      </w:pPr>
      <w:r>
        <w:rPr>
          <w:rFonts w:ascii="Times New Roman" w:hAnsi="Times New Roman"/>
          <w:color w:val="000000"/>
          <w:sz w:val="20"/>
        </w:rPr>
        <w:t xml:space="preserve">(d) The Corporation shall make the list of stockholders available at the meeting, and any stockholder or his or her agent or attorney is entitled to inspect the list at any time during the meeting or any adjournment.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Powers</w:t>
      </w:r>
      <w:r>
        <w:rPr>
          <w:rFonts w:ascii="Times New Roman" w:hAnsi="Times New Roman"/>
          <w:color w:val="000000"/>
          <w:sz w:val="20"/>
        </w:rPr>
        <w:t xml:space="preserve">. The business of the Corporation shall be managed by a Board of Directors, who may exercise all the powers of the Corporation except as otherwise provided by law, by the Articles of Organization or by these By-Laws. In the event of a vacancy in the Board of Directors, the remaining Directors, except as otherwise provided by law, may exercise the powers of the full Board until the vacancy is filled.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Number and Election</w:t>
      </w:r>
      <w:r>
        <w:rPr>
          <w:rFonts w:ascii="Times New Roman" w:hAnsi="Times New Roman"/>
          <w:color w:val="000000"/>
          <w:sz w:val="20"/>
        </w:rPr>
        <w:t xml:space="preserve">. The number of Directors which shall constitute the whole Board of Directors shall be determined by vote of the stockholders or the Board of Directors, but shall consist of not less than three Directors (except that whenever there shall be only two stockholders the number of Directors shall be not less than two and whenever there shall be only one stockholder or prior to the issuance of any stock, there shall be at least one Director). The number of Directors may be decreased at any time and from time to time either by the stockholders or by a majority of the Directors then in office, but only to eliminate vacancies existing by reason of the death, resignation, removal or expiration of the term of one or more Directors. The Directors shall be elected at the annual meeting of stockholders by such stockholders as have the right to vote on such election. No Director need be a stockholder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provisions, if the Corporation is a “public corporation” as defined in the Massachusetts Business Corporation Act, as in effect from time to time (the “MBCA”), and has not elected, pursuant to Section 8.06(c) of the MBCA, to be exempt from the provisions of Section 8.06(b) of the MBCA, then: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- 9 -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In accordance with such Section 8.06(e)(4) of the MBCA, the number of Directors shall be fixed only by vote of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In accordance with Section 8.06(a) of the MBCA, the Directors of the Corporation shall be classified with respect to the time for which they severally hold office, into three classes, as nearly equal in number as possible, until the Corporation’s annual meeting of stockholders held in 2028. As of the effective date of these Third Amended and Restated By-Laws, the term of office of those Directors of the first class (“Class I Directors”) shall continue until the Corporation’s annual meeting of stockholders held in 2027 and until their successors are duly elected and qualified; the term of office of those Directors of the second class (“Class II Directors”) that were duly elected and qualified at the Corporation’s annual meeting of stockholders held in 2025 shall continue until the Corporation’s annual meeting of stockholders held in 2028 and until their successors are duly elected and qualified; and the term of office of those Directors of the third class (“Class III Directors”) that were duly elected and qualified at the Corporation’s annual meeting of stockholders held in 2026 shall continue until the Corporation’s annual meeting of stockholders held in 2027 and until their successors are duly elected and qualified. All Class III Directors and (i) following the Corporation’s annual meeting of stockholders held in 2027, all Class I Directors and (ii) following the Corporation’s annual meeting of stockholders held in 2028, all Class II Directors shall be elected for terms expiring at the next annual meeting of stockholders and until their successors shall be elected and qualified, subject to prior death, resignation, retirement or removal.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Enlargement of the Board</w:t>
      </w:r>
      <w:r>
        <w:rPr>
          <w:rFonts w:ascii="Times New Roman" w:hAnsi="Times New Roman"/>
          <w:color w:val="000000"/>
          <w:sz w:val="20"/>
        </w:rPr>
        <w:t xml:space="preserve">. The number of Directors may be increased at any time and from time to time by a majority of the Directors then in office. Notwithstanding the foregoing provisions, if the Directors of the Corporation are classified with respect to the time for which they severally hold office pursuant to Section 8.06(c) of the MBCA, the Board of Directors may be enlarged only in accordance with the provisions of 8.06(e).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Tenure</w:t>
      </w:r>
      <w:r>
        <w:rPr>
          <w:rFonts w:ascii="Times New Roman" w:hAnsi="Times New Roman"/>
          <w:color w:val="000000"/>
          <w:sz w:val="20"/>
        </w:rPr>
        <w:t xml:space="preserve">. Except as otherwise provided by law, these By-Laws or the Articles of Organization, each Director shall hold office until the next annual meeting of stockholders and until his successor is elected and qualified, or until his earlier death, resignation or removal.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Vacancies</w:t>
      </w:r>
      <w:r>
        <w:rPr>
          <w:rFonts w:ascii="Times New Roman" w:hAnsi="Times New Roman"/>
          <w:color w:val="000000"/>
          <w:sz w:val="20"/>
        </w:rPr>
        <w:t xml:space="preserve">. Unless and until filled by the stockholders, any vacancy in the Board of Directors, however occurring, including a vacancy resulting from an enlargement of the Board of Directors, may be filled by vote of a majority of the Directors present at the meeting of Directors at which a quorum is present. Each such successor shall hold office for the unexpired term of his predecessor and until his successor is chosen and qualified or until his earlier death, resignation or removal. Notwithstanding the foregoing provisions, if the Directors of the Corporation are classified with respect to the time for which they severally hold office pursuant to Section 8.06(c) of the MBCA, any vacancy in the Board of Directors, however occurring, shall be filled solely in accordance with the provisions of Section 8.06(e) of the MBCA. </w:t>
      </w:r>
    </w:p>
    <w:p>
      <w:pPr>
        <w:pStyle w:val="TextBody"/>
        <w:bidi w:val="0"/>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Resignation</w:t>
      </w:r>
      <w:r>
        <w:rPr>
          <w:rFonts w:ascii="Times New Roman" w:hAnsi="Times New Roman"/>
          <w:color w:val="000000"/>
          <w:sz w:val="20"/>
        </w:rPr>
        <w:t xml:space="preserve">. A Director may resign at any time by delivering written notice of resignation to the Board of Directors, the Chairman of the Board or the Corporation. A resignation is effective when the notice is delivered unless the notice specifies a later effective date.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Removal</w:t>
      </w:r>
      <w:r>
        <w:rPr>
          <w:rFonts w:ascii="Times New Roman" w:hAnsi="Times New Roman"/>
          <w:color w:val="000000"/>
          <w:sz w:val="20"/>
        </w:rPr>
        <w:t xml:space="preserve">. A Director may be removed from office with or without cause by vote of the holders of a majority of the shares entitled to vote in the election of Directors. However, the Directors elected by the holders of a particular class or series of stock may be removed from office with or without cause only by vote of the holders of a majority of the outstanding shares of such class or series. In addition, a Director may be removed from office for cause by vote of a majority of the Directors then in office. A Director may be removed for cause only after reasonable notice and opportunity to be heard before the body proposing to remove him. Notwithstanding the foregoing provision, if the Directors of the Corporation are classified with respect to the time for which they severally hold office pursuant to paragraph (b) of Section 8.06 of the MBCA, as it may be amended from time to time, Directors may only be removed for cause pursuant to paragraph (d) of such Section 8.06.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2.8. </w:t>
      </w:r>
      <w:r>
        <w:rPr>
          <w:rFonts w:ascii="Times New Roman" w:hAnsi="Times New Roman"/>
          <w:color w:val="000000"/>
          <w:sz w:val="20"/>
          <w:u w:val="single"/>
        </w:rPr>
        <w:t>Regular Meetings</w:t>
      </w:r>
      <w:r>
        <w:rPr>
          <w:rFonts w:ascii="Times New Roman" w:hAnsi="Times New Roman"/>
          <w:color w:val="000000"/>
          <w:sz w:val="20"/>
        </w:rPr>
        <w:t xml:space="preserve">. Regular meetings of the Board of Directors may be held at such times and places as shall from time to time be fixed by the Board of Directors without notice of the date, time, place or purpose of the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- 10 -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2.9. </w:t>
      </w:r>
      <w:r>
        <w:rPr>
          <w:rFonts w:ascii="Times New Roman" w:hAnsi="Times New Roman"/>
          <w:color w:val="000000"/>
          <w:sz w:val="20"/>
          <w:u w:val="single"/>
        </w:rPr>
        <w:t>Special Meetings</w:t>
      </w:r>
      <w:r>
        <w:rPr>
          <w:rFonts w:ascii="Times New Roman" w:hAnsi="Times New Roman"/>
          <w:color w:val="000000"/>
          <w:sz w:val="20"/>
        </w:rPr>
        <w:t xml:space="preserve">. Special meetings of the Board of Directors may be called by the Chairman of the Board, the Chief Executive Officer, the President, the Secretary, any two Directors or one Director in the event that there is only one Director.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2.10. </w:t>
      </w:r>
      <w:r>
        <w:rPr>
          <w:rFonts w:ascii="Times New Roman" w:hAnsi="Times New Roman"/>
          <w:color w:val="000000"/>
          <w:sz w:val="20"/>
          <w:u w:val="single"/>
        </w:rPr>
        <w:t>Notice</w:t>
      </w:r>
      <w:r>
        <w:rPr>
          <w:rFonts w:ascii="Times New Roman" w:hAnsi="Times New Roman"/>
          <w:color w:val="000000"/>
          <w:sz w:val="20"/>
        </w:rPr>
        <w:t xml:space="preserve">. Special meetings of the Board of Directors must be preceded by at least two days’ notice of the date, time and place of the meeting. The notice need not describe the purpose of the special meeting. All notices to Directors shall conform to the requirements of Article III of these By-Laws.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2.11. </w:t>
      </w:r>
      <w:r>
        <w:rPr>
          <w:rFonts w:ascii="Times New Roman" w:hAnsi="Times New Roman"/>
          <w:color w:val="000000"/>
          <w:sz w:val="20"/>
          <w:u w:val="single"/>
        </w:rPr>
        <w:t>Waiver of Notice</w:t>
      </w:r>
      <w:r>
        <w:rPr>
          <w:rFonts w:ascii="Times New Roman" w:hAnsi="Times New Roman"/>
          <w:color w:val="000000"/>
          <w:sz w:val="20"/>
        </w:rPr>
        <w:t xml:space="preserve">. A Director may waive any notice before or after the date and time of the meeting. The waiver shall be in writing, signed by the Director entitled to the notice, or in the form of an electronic transmission by the Director to the Corporation, and filed with the minutes or corporate records.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2.12. </w:t>
      </w:r>
      <w:r>
        <w:rPr>
          <w:rFonts w:ascii="Times New Roman" w:hAnsi="Times New Roman"/>
          <w:color w:val="000000"/>
          <w:sz w:val="20"/>
          <w:u w:val="single"/>
        </w:rPr>
        <w:t>Quorum</w:t>
      </w:r>
      <w:r>
        <w:rPr>
          <w:rFonts w:ascii="Times New Roman" w:hAnsi="Times New Roman"/>
          <w:color w:val="000000"/>
          <w:sz w:val="20"/>
        </w:rPr>
        <w:t xml:space="preserve">. Unless otherwise provided by law, the Articles of Organization or these By-Laws, a quorum of the Board of Directors consists of a majority of the Directors then in office, provided always that any number of Directors (whether one or more and whether or not constituting a quorum) constituting a majority of Directors present at any meeting or at any adjourned meeting may make an adjournment thereof.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2.13. </w:t>
      </w:r>
      <w:r>
        <w:rPr>
          <w:rFonts w:ascii="Times New Roman" w:hAnsi="Times New Roman"/>
          <w:color w:val="000000"/>
          <w:sz w:val="20"/>
          <w:u w:val="single"/>
        </w:rPr>
        <w:t>Action at Meeting</w:t>
      </w:r>
      <w:r>
        <w:rPr>
          <w:rFonts w:ascii="Times New Roman" w:hAnsi="Times New Roman"/>
          <w:color w:val="000000"/>
          <w:sz w:val="20"/>
        </w:rPr>
        <w:t xml:space="preserve">. If a quorum is present when a vote is taken, the affirmative vote of a majority of Directors present is the act of the Board of Directors unless the Articles of Organization or these By-Laws require the vote of a greater number of Directors. A Director who is present at a meeting of the Board of Directors or a committee of the Board of Directors when corporate action is taken is considered to have assented to the action taken unless: (a) he or she objects at the beginning of the meeting, or promptly upon his or her arrival, to holding it or transacting business at the meeting; (b) his or her dissent or abstention from the action taken is entered in the minutes of the meeting; or (c) he or she delivers written notice of his or her dissent or abstention to the presiding officer of the meeting before its adjournment or to the Corporation immediately after adjournment of the meeting. The right of dissent or abstention is not available to a Director who votes in favor of the action taken. </w:t>
      </w:r>
    </w:p>
    <w:p>
      <w:pPr>
        <w:pStyle w:val="TextBody"/>
        <w:bidi w:val="0"/>
        <w:jc w:val="left"/>
        <w:rPr>
          <w:rFonts w:ascii="Times New Roman" w:hAnsi="Times New Roman"/>
          <w:sz w:val="20"/>
        </w:rPr>
      </w:pPr>
      <w:r>
        <w:rPr>
          <w:rFonts w:ascii="Times New Roman" w:hAnsi="Times New Roman"/>
          <w:color w:val="000000"/>
          <w:sz w:val="20"/>
        </w:rPr>
        <w:t xml:space="preserve">2.14. </w:t>
      </w:r>
      <w:r>
        <w:rPr>
          <w:rFonts w:ascii="Times New Roman" w:hAnsi="Times New Roman"/>
          <w:color w:val="000000"/>
          <w:sz w:val="20"/>
          <w:u w:val="single"/>
        </w:rPr>
        <w:t>Action Without Meeting</w:t>
      </w:r>
      <w:r>
        <w:rPr>
          <w:rFonts w:ascii="Times New Roman" w:hAnsi="Times New Roman"/>
          <w:color w:val="000000"/>
          <w:sz w:val="20"/>
        </w:rPr>
        <w:t xml:space="preserve">. Any action required or permitted to be taken by the Directors may be taken without a meeting if the action is taken by the unanimous consent of the members of the Board of Directors. The action must be evidenced by one or more consents describing the action taken, in writing, signed by each Director, or delivered to the Corporation by electronic transmission, to the address specified by the Corporation for the purpose or, if no address has been specified, to the principal office of the Corporation, addressed to the Secretary or other officer or agent having custody of the records of proceedings of Directors, and included in the minutes or filed with the corporate records reflecting the action taken. Action taken under this Section 2.14 is effective when the last Director signs or delivers the consent, unless the consent specifies a different effective date. A consent signed or delivered under this Section 2.14 has the effect of a meeting vote and may be described as such in any document.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2.15. </w:t>
      </w:r>
      <w:r>
        <w:rPr>
          <w:rFonts w:ascii="Times New Roman" w:hAnsi="Times New Roman"/>
          <w:color w:val="000000"/>
          <w:sz w:val="20"/>
          <w:u w:val="single"/>
        </w:rPr>
        <w:t>Telephone Conference Meetings</w:t>
      </w:r>
      <w:r>
        <w:rPr>
          <w:rFonts w:ascii="Times New Roman" w:hAnsi="Times New Roman"/>
          <w:color w:val="000000"/>
          <w:sz w:val="20"/>
        </w:rPr>
        <w:t xml:space="preserve">. The Board of Directors may permit any or all Directors to participate in a regular or special meeting by, or conduct the meeting through the use of, any means of communication by which all Directors participating may simultaneously hear each other during the meeting. A Director participating in a meeting by this means is considered to be present in person at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2.16. </w:t>
      </w:r>
      <w:r>
        <w:rPr>
          <w:rFonts w:ascii="Times New Roman" w:hAnsi="Times New Roman"/>
          <w:color w:val="000000"/>
          <w:sz w:val="20"/>
          <w:u w:val="single"/>
        </w:rPr>
        <w:t>Chairman of the Board and Vice-Chairman of the Board</w:t>
      </w:r>
      <w:r>
        <w:rPr>
          <w:rFonts w:ascii="Times New Roman" w:hAnsi="Times New Roman"/>
          <w:color w:val="000000"/>
          <w:sz w:val="20"/>
        </w:rPr>
        <w:t xml:space="preserve">. The Board of Directors may appoint a Chairman of the Board. If the Board of Directors appoints a Chairman of the Board, he shall perform such duties and possess such powers as are assigned to him by the Board of Directors. If the Board of Directors appoints a Vice-Chairman of the Board, he shall, in the absence or disability of the Chairman of the Board, perform the duties and exercise the powers of the Chairman of the Board and shall perform such other duties and possess such other powers as may from time to time be vested in him by the Board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2.17. </w:t>
      </w:r>
      <w:r>
        <w:rPr>
          <w:rFonts w:ascii="Times New Roman" w:hAnsi="Times New Roman"/>
          <w:color w:val="000000"/>
          <w:sz w:val="20"/>
          <w:u w:val="single"/>
        </w:rPr>
        <w:t>Committees</w:t>
      </w:r>
      <w:r>
        <w:rPr>
          <w:rFonts w:ascii="Times New Roman" w:hAnsi="Times New Roman"/>
          <w:color w:val="000000"/>
          <w:sz w:val="20"/>
        </w:rPr>
        <w:t xml:space="preserve">. The Board of Directors may create one or more committees and appoint members of the Board of Directors to serve on them. Each committee may have one or more members, who serve at the pleasure of the Board of Directors. The creation of a committee and appointment of members to it must be approved by a majority of all the Directors in office when the action is taken. Article III and Sections 2.10 through 2.15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- 11 -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By-Laws shall apply to committees and their members. To the extent specified by the Board of Directors, each committee may exercise the authority of the Board of Directors to the extent permitted by law. The creation of, delegation of authority to, or action by a committee does not alone constitute compliance by a Director with the standards of conduct described in Section 2.19 of these By-Laws.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2.18. </w:t>
      </w:r>
      <w:r>
        <w:rPr>
          <w:rFonts w:ascii="Times New Roman" w:hAnsi="Times New Roman"/>
          <w:color w:val="000000"/>
          <w:sz w:val="20"/>
          <w:u w:val="single"/>
        </w:rPr>
        <w:t>Compensation</w:t>
      </w:r>
      <w:r>
        <w:rPr>
          <w:rFonts w:ascii="Times New Roman" w:hAnsi="Times New Roman"/>
          <w:color w:val="000000"/>
          <w:sz w:val="20"/>
        </w:rPr>
        <w:t xml:space="preserve">. The Board of Directors may fix the compensation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2.19. </w:t>
      </w:r>
      <w:r>
        <w:rPr>
          <w:rFonts w:ascii="Times New Roman" w:hAnsi="Times New Roman"/>
          <w:color w:val="000000"/>
          <w:sz w:val="20"/>
          <w:u w:val="single"/>
        </w:rPr>
        <w:t>Standard of Conduct for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 Director shall discharge his or her duties as a Director, including his or her duties as a member of a committee: (1) in good faith; (2) with the care that a person in a like position would reasonably believe appropriate under similar circumstances; and (3) in a manner the Director reasonably believes to be in the best interests of the Corporation. In determining what the Director reasonably believes to be in the best interests of the Corporation, a Director may consider the interests of the Corporation’s employees, suppliers, creditors and customers, the economy of the state, the region and the nation, community and societal considerations, and the long-term and short-term interests of the Corporation and its stockholders, including the possibility that these interests may be best served by the continued independence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In discharging his or her duties, a Director who does not have knowledge that makes reliance unwarranted is entitled to rely on information, opinions, reports or statements, including financial statements and other financial data, if prepared or presented by: (1) one or more officers or employees of the Corporation whom the Director reasonably believes to be reliable and competent with respect to the information, opinions, reports or statements presented; (2)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or (3) a committee of the Board of Directors of which the Director is not a member if the Director reasonably believes the committee merits confidence.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A Director is not liable for any action taken as a Director, or any failure to take any action, if he or she performed the duties of his or her office in compliance with this Section 2.19. </w:t>
      </w:r>
    </w:p>
    <w:p>
      <w:pPr>
        <w:pStyle w:val="TextBody"/>
        <w:bidi w:val="0"/>
        <w:jc w:val="left"/>
        <w:rPr>
          <w:rFonts w:ascii="Times New Roman" w:hAnsi="Times New Roman"/>
          <w:sz w:val="20"/>
        </w:rPr>
      </w:pPr>
      <w:r>
        <w:rPr>
          <w:rFonts w:ascii="Times New Roman" w:hAnsi="Times New Roman"/>
          <w:color w:val="000000"/>
          <w:sz w:val="20"/>
        </w:rPr>
        <w:t xml:space="preserve">2.20. </w:t>
      </w:r>
      <w:r>
        <w:rPr>
          <w:rFonts w:ascii="Times New Roman" w:hAnsi="Times New Roman"/>
          <w:color w:val="000000"/>
          <w:sz w:val="20"/>
          <w:u w:val="single"/>
        </w:rPr>
        <w:t>Conflict of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 conflict of interest transaction is a transaction with the Corporation in which a Director of the Corporation has a material direct or indirect interest. A conflict of interest transaction is not voidable by the Corporation solely because of the Director’s interest in the transaction if any one of the following is true: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material facts of the transaction and the Director’s interest were disclosed or known to the Board of Directors or a committee of the Board of Directors and the Board of Directors or committee authorized, approved or ratified the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material facts of the transaction and the Director’s interest were disclosed or known to the stockholders entitled to vote and they authorized, approved or ratified the transaction; 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the transaction was fair to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For purposes of this Section 2.20, and without limiting the interests that may create conflict of interest transactions, a Director of the Corporation has an indirect interest in a transaction if: (1) another entity in which he or she has a material financial interest or in which he or she is a general partner is a party to the transaction; or (2) another entity of which he or she is a Director, officer or trustee or in which he or she holds another position is a party to the transaction and the transaction is or should be considered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For purposes of clause (1) of subsection (a) of this Section 2.20, a conflict of interest transaction is authorized, approved or ratified if it receives the affirmative vote of a majority of the Directors on the Board of Directors (or on the committee) who have no direct or indirect interest in the transaction, but a transaction may not be authorized, approved or ratified under this Section 2.20 by a single Director. If a majority of the Directors who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- 12 -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have no direct or indirect interest in the transaction vote to authorize, approve or ratify the transaction, a quorum is present for the purpose of taking action under this Section 2.20. The presence of, or a vote cast by, a Director with a direct or indirect interest in the transaction does not affect the validity of any action taken under clause (1) of subsection (a) of this Section 2.20 if the transaction is otherwise authorized, approved or ratified as provided in that subsection.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For purposes of clause (2) of subsection (a) of this Section 2.20, a conflict of interest transaction is authorized, approved or ratified if it receives the vote of a majority of the shares entitled to be counted under this subsection (d). Shares owned by or voted under the control of a Director who has a direct or indirect interest in the transaction, and shares owned by or voted under the control of an entity described in clause (1) of subsection (b) of this Section 2.20, may not be counted in a vote of stockholders to determine whether to authorize, approve or ratify a conflict of interest transaction under clause (2) of subsection (a) of this Section 2.20. The vote of those shares, however, is counted in determining whether the transaction is approved under other provisions of these By-Laws. A majority of the shares, whether or not present, that are entitled to be counted in a vote on the transaction under this subsection constitutes a quorum for the purpose of taking action under this Section 2.20.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MANNER OF NOTICE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otherwise provided by law, all notices provided for under these By-Laws shall conform to the following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Notice shall be in writing unless oral notice is reasonable under the circumstances. Notice by electronic transmission is written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Notice may be communicated in person; by telephone, voice mail, telegraph, teletype or other electronic means; by mail; by electronic transmission; or by messenger or delivery service. If these forms of personal notice are impracticable, notice may be communicated by a newspaper of general circulation in the area where published; or by radio, television or other form of public broadcast communication. </w:t>
      </w:r>
    </w:p>
    <w:p>
      <w:pPr>
        <w:pStyle w:val="TextBody"/>
        <w:bidi w:val="0"/>
        <w:jc w:val="left"/>
        <w:rPr>
          <w:rFonts w:ascii="Times New Roman" w:hAnsi="Times New Roman"/>
          <w:color w:val="000000"/>
          <w:sz w:val="20"/>
        </w:rPr>
      </w:pPr>
      <w:r>
        <w:rPr>
          <w:rFonts w:ascii="Times New Roman" w:hAnsi="Times New Roman"/>
          <w:color w:val="000000"/>
          <w:sz w:val="20"/>
        </w:rPr>
        <w:t xml:space="preserve">(c) Written notice, other than notice by electronic transmission, by the Corporation to any of its stockholders, if in a comprehensible form, is effective upon deposit in the United States mail, if mailed postpaid and correctly addressed to the stockholder’s address shown in the Corporation’s current record of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Written notice by electronic transmission by the Corporation to any of its stockholders, if in comprehensible form, is effective: (1) if by facsimile telecommunication, when directed to a number furnished by the stockholder for the purpose; (2) if by electronic mail, when directed to an electronic mail address furnished by the stockholder for the purpose; (3) if by a posting on an electronic network together with separate notice to the stockholder of such specific posting, directed to an electronic mail address furnished by the stockholder for the purpose, upon the later of (i) such posting and (ii) the giving of such separate notice; and (4) if by any other form of electronic transmission, when directed to the stockholder in such manner as the stockholder shall have specified to the Corporation. An affidavit of the Secretary or an Assistant Secretary of the Corporation, the transfer agent or other agent of the Corporation that the notice has been given by a form of electronic transmission shall, in the absence of fraud, be prima facie evidence of the facts stated therein.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Except as provided in subsection (c) of this Article III, written notice, other than notice by electronic transmission, if in a comprehensible form, is effective at the earliest of the following: (1) when received; (2) five days after its deposit in the United States mail, if mailed postpaid and correctly addressed; (3) on the date shown on the return receipt, if sent by registered or certified mail, return receipt requested; or if sent by messenger or delivery service, on the date shown on the return receipt signed by or on behalf of the addressee; or (4) on the date of publication if notice by publication is permitted.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 Oral notice is effective when communicated if communicated in a comprehensible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- 13 -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 </w:t>
      </w:r>
      <w:r>
        <w:rPr>
          <w:rFonts w:ascii="Times New Roman" w:hAnsi="Times New Roman"/>
          <w:color w:val="000000"/>
          <w:sz w:val="20"/>
          <w:u w:val="single"/>
        </w:rPr>
        <w:t>Enumeration</w:t>
      </w:r>
      <w:r>
        <w:rPr>
          <w:rFonts w:ascii="Times New Roman" w:hAnsi="Times New Roman"/>
          <w:color w:val="000000"/>
          <w:sz w:val="20"/>
        </w:rPr>
        <w:t xml:space="preserve">. The Corporation shall have a President, a Treasurer, a Secretary and such other officers as may be appointed by the Board of Directors from time to time in accordance with these By-Laws, including, but not limited to, a Chief Executive Officer and one or more Vice Presidents, Assistant Treasurers and Assistant Secretaries.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4.2. </w:t>
      </w:r>
      <w:r>
        <w:rPr>
          <w:rFonts w:ascii="Times New Roman" w:hAnsi="Times New Roman"/>
          <w:color w:val="000000"/>
          <w:sz w:val="20"/>
          <w:u w:val="single"/>
        </w:rPr>
        <w:t>Appointment</w:t>
      </w:r>
      <w:r>
        <w:rPr>
          <w:rFonts w:ascii="Times New Roman" w:hAnsi="Times New Roman"/>
          <w:color w:val="000000"/>
          <w:sz w:val="20"/>
        </w:rPr>
        <w:t xml:space="preserve">. The officers shall be appointed by the Board of Directors. A duly appointed officer may appoint one or more officers or assistant officers if authorized by the Board of Directors. Each officer has the authority and shall perform the duties set forth in these By-Laws or, to the extent consistent with these By-Laws, the duties prescribed by the Board of Directors or by direction of an officer authorized by the Board of Directors to prescribe the duties of other officers. The appointment of an officer shall not itself create contract rights.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4.3. </w:t>
      </w:r>
      <w:r>
        <w:rPr>
          <w:rFonts w:ascii="Times New Roman" w:hAnsi="Times New Roman"/>
          <w:color w:val="000000"/>
          <w:sz w:val="20"/>
          <w:u w:val="single"/>
        </w:rPr>
        <w:t>Qualification</w:t>
      </w:r>
      <w:r>
        <w:rPr>
          <w:rFonts w:ascii="Times New Roman" w:hAnsi="Times New Roman"/>
          <w:color w:val="000000"/>
          <w:sz w:val="20"/>
        </w:rPr>
        <w:t xml:space="preserve">. The same individual may simultaneously hold more than one office in the Corporation. No officer need be a stockholder.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4.4. </w:t>
      </w:r>
      <w:r>
        <w:rPr>
          <w:rFonts w:ascii="Times New Roman" w:hAnsi="Times New Roman"/>
          <w:color w:val="000000"/>
          <w:sz w:val="20"/>
          <w:u w:val="single"/>
        </w:rPr>
        <w:t>Tenure</w:t>
      </w:r>
      <w:r>
        <w:rPr>
          <w:rFonts w:ascii="Times New Roman" w:hAnsi="Times New Roman"/>
          <w:color w:val="000000"/>
          <w:sz w:val="20"/>
        </w:rPr>
        <w:t xml:space="preserve">. Except as otherwise provided by law, the Articles of Organization or these By-Laws, each officer shall hold office until his or her successor is duly appointed, unless a different term is specified in the vote appointing him or her, or until his or her earlier death, resignation or removal.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4.5. </w:t>
      </w:r>
      <w:r>
        <w:rPr>
          <w:rFonts w:ascii="Times New Roman" w:hAnsi="Times New Roman"/>
          <w:color w:val="000000"/>
          <w:sz w:val="20"/>
          <w:u w:val="single"/>
        </w:rPr>
        <w:t>Resignation</w:t>
      </w:r>
      <w:r>
        <w:rPr>
          <w:rFonts w:ascii="Times New Roman" w:hAnsi="Times New Roman"/>
          <w:color w:val="000000"/>
          <w:sz w:val="20"/>
        </w:rPr>
        <w:t xml:space="preserve">. An officer may resign at any time by delivering notice of the resignation to the Corporation. A resignation 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 officer’s resignation shall not affect the Corporation’s contract rights, if any, with the officer.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4.6. </w:t>
      </w:r>
      <w:r>
        <w:rPr>
          <w:rFonts w:ascii="Times New Roman" w:hAnsi="Times New Roman"/>
          <w:color w:val="000000"/>
          <w:sz w:val="20"/>
          <w:u w:val="single"/>
        </w:rPr>
        <w:t>Removal</w:t>
      </w:r>
      <w:r>
        <w:rPr>
          <w:rFonts w:ascii="Times New Roman" w:hAnsi="Times New Roman"/>
          <w:color w:val="000000"/>
          <w:sz w:val="20"/>
        </w:rPr>
        <w:t xml:space="preserve">. The Board of Directors may remove any officer at any time with or without cause. An officer’s removal shall not affect the officer’s contract rights, if any, with the Corporation. </w:t>
      </w:r>
    </w:p>
    <w:p>
      <w:pPr>
        <w:pStyle w:val="TextBody"/>
        <w:bidi w:val="0"/>
        <w:jc w:val="left"/>
        <w:rPr>
          <w:rFonts w:ascii="Times New Roman" w:hAnsi="Times New Roman"/>
          <w:sz w:val="20"/>
        </w:rPr>
      </w:pPr>
      <w:r>
        <w:rPr>
          <w:rFonts w:ascii="Times New Roman" w:hAnsi="Times New Roman"/>
          <w:color w:val="000000"/>
          <w:sz w:val="20"/>
        </w:rPr>
        <w:t xml:space="preserve">4.7. </w:t>
      </w:r>
      <w:r>
        <w:rPr>
          <w:rFonts w:ascii="Times New Roman" w:hAnsi="Times New Roman"/>
          <w:color w:val="000000"/>
          <w:sz w:val="20"/>
          <w:u w:val="single"/>
        </w:rPr>
        <w:t>Vacancies</w:t>
      </w:r>
      <w:r>
        <w:rPr>
          <w:rFonts w:ascii="Times New Roman" w:hAnsi="Times New Roman"/>
          <w:color w:val="000000"/>
          <w:sz w:val="20"/>
        </w:rPr>
        <w:t xml:space="preserve">.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duly appointed, or until he or she sooner dies, resigns or is removed.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4.8. </w:t>
      </w:r>
      <w:r>
        <w:rPr>
          <w:rFonts w:ascii="Times New Roman" w:hAnsi="Times New Roman"/>
          <w:color w:val="000000"/>
          <w:sz w:val="20"/>
          <w:u w:val="single"/>
        </w:rPr>
        <w:t>President; Chief Executive Officer</w:t>
      </w:r>
      <w:r>
        <w:rPr>
          <w:rFonts w:ascii="Times New Roman" w:hAnsi="Times New Roman"/>
          <w:color w:val="000000"/>
          <w:sz w:val="20"/>
        </w:rPr>
        <w:t xml:space="preserve">. Unless the Board of Directors has designated another person as Chief Executive Officer, the President shall be the Chief Executive Officer. The Chief Executive Officer shall have general charge and supervision of the business of the Corporation, subject to the direction of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4.9. </w:t>
      </w:r>
      <w:r>
        <w:rPr>
          <w:rFonts w:ascii="Times New Roman" w:hAnsi="Times New Roman"/>
          <w:color w:val="000000"/>
          <w:sz w:val="20"/>
          <w:u w:val="single"/>
        </w:rPr>
        <w:t>Vice Presidents</w:t>
      </w:r>
      <w:r>
        <w:rPr>
          <w:rFonts w:ascii="Times New Roman" w:hAnsi="Times New Roman"/>
          <w:color w:val="000000"/>
          <w:sz w:val="20"/>
        </w:rPr>
        <w:t xml:space="preserve">. Any Vice President shall perform such duties and shall possess such powers as the Board of Directors, the Chief Executive Officer or the President may from time to time prescribe. The Board of Directors may assign to any Vice President the title Executive Vice President, Senior Vice President or any other title selected by the Board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4.10. </w:t>
      </w:r>
      <w:r>
        <w:rPr>
          <w:rFonts w:ascii="Times New Roman" w:hAnsi="Times New Roman"/>
          <w:color w:val="000000"/>
          <w:sz w:val="20"/>
          <w:u w:val="single"/>
        </w:rPr>
        <w:t>Treasurer and Assistant Treasurers</w:t>
      </w:r>
      <w:r>
        <w:rPr>
          <w:rFonts w:ascii="Times New Roman" w:hAnsi="Times New Roman"/>
          <w:color w:val="000000"/>
          <w:sz w:val="20"/>
        </w:rPr>
        <w:t xml:space="preserve">. The Treasurer shall perform such duties and shall have such powers as may from time to time be assigned to him or her by the Board of Directors, the Chief Executive Officer or the President. In addition, the Treasurer shall perform such duties and have such powers as are incident to the office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- 14 -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treasurer, including without limitation the duty and power to keep and be responsible for all funds and securities of the Corporation, to deposit funds of the Corporation in depositories, to disburse such funds as ordered by the Board of Directors, the Chief Executive Officer or the President, to make proper accounts of such funds, and to render as required by the Board of Directors, the Chief Executive Officer or the President statements of all such transactions and of the financial condition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Assistant Treasurer shall perform such duties and possess such powers as the Board of Directors, the Chief Executive Officer,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4.11. </w:t>
      </w:r>
      <w:r>
        <w:rPr>
          <w:rFonts w:ascii="Times New Roman" w:hAnsi="Times New Roman"/>
          <w:color w:val="000000"/>
          <w:sz w:val="20"/>
          <w:u w:val="single"/>
        </w:rPr>
        <w:t>Secretary and Assistant Secretaries</w:t>
      </w:r>
      <w:r>
        <w:rPr>
          <w:rFonts w:ascii="Times New Roman" w:hAnsi="Times New Roman"/>
          <w:color w:val="000000"/>
          <w:sz w:val="20"/>
        </w:rPr>
        <w:t xml:space="preserve">. The Secretary shall perform such duties and shall possess such powers as the Board of Directors, the Chief Executive Officer or the President may from time to time prescribe. In addition, the Secretary shall perform such duties and shall have such powers as are incident to the office of the secretary, including without limitation the duty and power to give notices of all meetings of stockholders and Directors, to attend all meetings of stockholders and Directors, to prepare minutes of the meetings of stockholders and Directors, to authenticate the records of the Corporation, to maintain a stock ledger and prepare lists of stockholders and their addresses as required, to be custodian of corporate records and the corporate seal and to affix and attest to the same on documents.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absence of the Secretary or any Assistant Secretary at any meeting of stockholders or Directors, the person presiding at the meeting shall designate a temporary secretary to prepare the minutes of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4.12. </w:t>
      </w:r>
      <w:r>
        <w:rPr>
          <w:rFonts w:ascii="Times New Roman" w:hAnsi="Times New Roman"/>
          <w:color w:val="000000"/>
          <w:sz w:val="20"/>
          <w:u w:val="single"/>
        </w:rPr>
        <w:t>Salaries</w:t>
      </w:r>
      <w:r>
        <w:rPr>
          <w:rFonts w:ascii="Times New Roman" w:hAnsi="Times New Roman"/>
          <w:color w:val="000000"/>
          <w:sz w:val="20"/>
        </w:rPr>
        <w:t xml:space="preserve">. Officers of the Corporation shall be entitled to such salaries, compensation or reimbursement as shall be fixed or allowed from time to time by the Board of Directors. </w:t>
      </w:r>
    </w:p>
    <w:p>
      <w:pPr>
        <w:pStyle w:val="TextBody"/>
        <w:bidi w:val="0"/>
        <w:jc w:val="left"/>
        <w:rPr>
          <w:rFonts w:ascii="Times New Roman" w:hAnsi="Times New Roman"/>
          <w:sz w:val="20"/>
        </w:rPr>
      </w:pPr>
      <w:r>
        <w:rPr>
          <w:rFonts w:ascii="Times New Roman" w:hAnsi="Times New Roman"/>
          <w:color w:val="000000"/>
          <w:sz w:val="20"/>
        </w:rPr>
        <w:t xml:space="preserve">4.13. </w:t>
      </w:r>
      <w:r>
        <w:rPr>
          <w:rFonts w:ascii="Times New Roman" w:hAnsi="Times New Roman"/>
          <w:color w:val="000000"/>
          <w:sz w:val="20"/>
          <w:u w:val="single"/>
        </w:rPr>
        <w:t>Standard of Conduct for Officers</w:t>
      </w:r>
      <w:r>
        <w:rPr>
          <w:rFonts w:ascii="Times New Roman" w:hAnsi="Times New Roman"/>
          <w:color w:val="000000"/>
          <w:sz w:val="20"/>
        </w:rPr>
        <w:t xml:space="preserve">. An officer shall discharge his or her duties: (a) in good faith; (b) with the care that a person in a like position would reasonably exercise under similar circumstances; and (c) in a manner the officer reasonably believes to be in the best interests of the Corporation. In discharging his or her duties, an officer who does not have knowledge that makes reliance unwarranted is entitled to rely on information, opinions, reports or statements, including financial statements and other financial data, if prepared or presented by: (1) one or more officers or employees of the Corporation whom the officer reasonably believes to be reliable and competent with respect to the information, opinions, reports or statements presented; or (2) legal counsel, public accountants or other persons retained by the Corporation as to matters involving skills or expertise the officer reasonably believes are matters (i) within the particular person’s professional or expert competence or (ii) as to which the particular person merits confidence. An officer shall not be liable to the Corporation or its stockholders for any decision to take or not to take any action taken, or any failure to take any action, as an officer, if the duties of the officer are performed in compliance with this Section 4.13.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PROVISIONS RELATING TO 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5.1. </w:t>
      </w:r>
      <w:r>
        <w:rPr>
          <w:rFonts w:ascii="Times New Roman" w:hAnsi="Times New Roman"/>
          <w:color w:val="000000"/>
          <w:sz w:val="20"/>
          <w:u w:val="single"/>
        </w:rPr>
        <w:t>Issuance and Consideration</w:t>
      </w:r>
      <w:r>
        <w:rPr>
          <w:rFonts w:ascii="Times New Roman" w:hAnsi="Times New Roman"/>
          <w:color w:val="000000"/>
          <w:sz w:val="20"/>
        </w:rPr>
        <w:t xml:space="preserve">. The Board of Directors may issue the number of shares of each class or series authorized by the Articles of Organization. The Board of Directors may authorize shares to be issued for consideration consisting of any tangible or 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- 15 -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received for shares to be issued is adequate. The Board of Directors shall determine the terms upon which the rights, options or warrants for the purchase of shares or other securities of the Corporation are issued and the terms, including the consideration, for which the shares or other securities are to be issued.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5.2. </w:t>
      </w:r>
      <w:r>
        <w:rPr>
          <w:rFonts w:ascii="Times New Roman" w:hAnsi="Times New Roman"/>
          <w:color w:val="000000"/>
          <w:sz w:val="20"/>
          <w:u w:val="single"/>
        </w:rPr>
        <w:t>Share Certificates</w:t>
      </w:r>
      <w:r>
        <w:rPr>
          <w:rFonts w:ascii="Times New Roman" w:hAnsi="Times New Roman"/>
          <w:color w:val="000000"/>
          <w:sz w:val="20"/>
        </w:rPr>
        <w:t xml:space="preserve">. If shares are represented by certificates, at a minimum each share certificate shall state on its face: (a) the name of the Corporation and that it is organized under the laws of The Commonwealth of Massachusetts; (b) the name of the person to whom issued; and (c) the number and class of shares and the designation of the series, if any, the certificate represents. Every certificate for shares of stock that are subject to any restriction on the transfer or registration of transfer of such shares pursuant to the Articles of Organization, these By-Laws, an agreement among stockholders or an agreement among stockholders and the Corporation, shall have conspicuously noted on the front or back of such certificate the existence of such restrictions. If different classes of shares or different series within a class are authorized, then the variations in rights, preferences and limitations applicable to each class and series, and the authority of the Board of Directors to determine variations for any future class or series, must be summarized on the front or back of each certificate. Alternatively, each certificate may state conspicuously on its front or back that the Corporation will furnish the stockholder this information on request in writing and without charge. Each share certificate shall be signed, either manually or in facsimile, by the Chief Executive Officer, the President or a Vice President and by the Treasurer or an Assistant Treasurer or the Secretary or an Assistant Secretary, or any two officers designated by the Board of Directors, and may bear the corporate seal or its facsimile. If the person who signed, either manually or in facsimile, a share certificate no longer holds office when the certificate is issued, the certificate shall be nevertheless valid.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5.3. </w:t>
      </w:r>
      <w:r>
        <w:rPr>
          <w:rFonts w:ascii="Times New Roman" w:hAnsi="Times New Roman"/>
          <w:color w:val="000000"/>
          <w:sz w:val="20"/>
          <w:u w:val="single"/>
        </w:rPr>
        <w:t>Uncertificated Shares</w:t>
      </w:r>
      <w:r>
        <w:rPr>
          <w:rFonts w:ascii="Times New Roman" w:hAnsi="Times New Roman"/>
          <w:color w:val="000000"/>
          <w:sz w:val="20"/>
        </w:rPr>
        <w:t xml:space="preserve">. The Board of Directors may authorize the issue of some or all of the shares of any or all of the Corporation’s classes or series without certificates. The authorization shall not affect shares already represented by certificates until they are surrendered to the Corporation. Within a reasonable time after the issue or transfer of shares without certificates, the Corporation shall send the stockholder a written statement of the information required by the MBCA to be on certificates.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5.4. </w:t>
      </w:r>
      <w:r>
        <w:rPr>
          <w:rFonts w:ascii="Times New Roman" w:hAnsi="Times New Roman"/>
          <w:color w:val="000000"/>
          <w:sz w:val="20"/>
          <w:u w:val="single"/>
        </w:rPr>
        <w:t>Transfers; Record and Beneficial Owners</w:t>
      </w:r>
      <w:r>
        <w:rPr>
          <w:rFonts w:ascii="Times New Roman" w:hAnsi="Times New Roman"/>
          <w:color w:val="000000"/>
          <w:sz w:val="20"/>
        </w:rPr>
        <w:t xml:space="preserve">. Subject to the restrictions, if any, stated or noted on the stock certificates,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The Corporation shall be entitled to treat the record holder of shares as shown on its books as the owner of such shares for all purposes, including the payment of dividends and other distributions and the right to vote with respect thereto, regardless of any transfer, pledge or other disposition of such shares until the shares have been transferred on the books of the Corporation in accordance with the requirements of these By-Laws. Notwithstanding anything to the contrary herein, to the extent the Board of Directors has established a procedure by which the beneficial owner of shares that are registered in the name of a nominee will be recognized by the Corporation as a stockholder, the Corporation shall be entitled to treat the beneficial owner of shares as the stockholder to the extent of the rights granted by a nominee certificate on file with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5.5. </w:t>
      </w:r>
      <w:r>
        <w:rPr>
          <w:rFonts w:ascii="Times New Roman" w:hAnsi="Times New Roman"/>
          <w:color w:val="000000"/>
          <w:sz w:val="20"/>
          <w:u w:val="single"/>
        </w:rPr>
        <w:t>Replacement of Certificates</w:t>
      </w:r>
      <w:r>
        <w:rPr>
          <w:rFonts w:ascii="Times New Roman" w:hAnsi="Times New Roman"/>
          <w:color w:val="000000"/>
          <w:sz w:val="20"/>
        </w:rPr>
        <w:t xml:space="preserve">. The Board of Directors may, subject to applicable law, determine the conditions upon which a new share certificate may be issued in place of any certificate alleged to have been lost, destroyed or wrongfully taken. The Board of Directors may, in its discretion, require the owner of such share certificate, or his or her legal representative, to give a bond, sufficient in its opinion, with or without surety, to indemnify the Corporation against any loss or claim which may arise by reason of the issue of the new certificate.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CORPORATE RECORDS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6.1. </w:t>
      </w:r>
      <w:r>
        <w:rPr>
          <w:rFonts w:ascii="Times New Roman" w:hAnsi="Times New Roman"/>
          <w:color w:val="000000"/>
          <w:sz w:val="20"/>
          <w:u w:val="single"/>
        </w:rPr>
        <w:t>Records to be Kept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- 16 -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The Corporation shall keep as permanent records minutes of all meetings of its stockholders and Board of Directors, a record of all actions taken by the stockholders or Board of Directors without a meeting, and a record of all actions taken by a committee of the Board of Directors in place of the Board of Directors on behalf of the Corporation. The Corporation shall maintain appropriate accounting records. The Corporation or its agent shall maintain a record of its stockholders, in a form that permits preparation of a list of the names and addresses of all stockholders, in alphabetical order by class of shares showing the number and class of shares held by each. The Corporation shall maintain its records in written form or in another form capable of conversion into written form within a reasonable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The Corporation shall keep within The Commonwealth of Massachusetts a copy of the following records at its principal office or an office of its transfer agent or of its Secretary or Assistant Secretary or of its registered agent: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its Articles or Restated Articles of Organization and all amendments to them currently in effect;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its By-Laws or Restated By-Laws and all amendments to them currently in effect;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resolutions adopted by its Board of Directors creating one or more classes or series of shares, and fixing their relative rights, preferences and limitations, if shares issued pursuant to those resolutions are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minutes of all stockholders’ meetings, and records of all action taken by stockholders without a meeting, for the past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all written communications to stockholders generally within the past three years, including the financial statements furnished under Section 16.20 of the MBCA, or any successor Section thereto, for the past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(6) a list of the names and business addresses of its current Directors and officers;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(7) its most recent annual report delivered to the Massachusetts Secretary of State. </w:t>
      </w:r>
    </w:p>
    <w:p>
      <w:pPr>
        <w:pStyle w:val="TextBody"/>
        <w:bidi w:val="0"/>
        <w:jc w:val="left"/>
        <w:rPr>
          <w:rFonts w:ascii="Times New Roman" w:hAnsi="Times New Roman"/>
          <w:sz w:val="20"/>
        </w:rPr>
      </w:pPr>
      <w:r>
        <w:rPr>
          <w:rFonts w:ascii="Times New Roman" w:hAnsi="Times New Roman"/>
          <w:color w:val="000000"/>
          <w:sz w:val="20"/>
        </w:rPr>
        <w:t xml:space="preserve">6.2. </w:t>
      </w:r>
      <w:r>
        <w:rPr>
          <w:rFonts w:ascii="Times New Roman" w:hAnsi="Times New Roman"/>
          <w:color w:val="000000"/>
          <w:sz w:val="20"/>
          <w:u w:val="single"/>
        </w:rPr>
        <w:t>Inspection of Records by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 stockholder is entitled to inspect and copy, during regular business hours at the office where they are maintained pursuant to Section 6.1(b) of these By-Laws, copies of any of the records of the Corporation described in said Section 6.1(b) if he or she gives the Corporation written notice of his or her demand at least five business days before the date on which he or she wishes to inspect and copy.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 stockholder is entitled to inspect and copy, during regular business hours at a reasonable location specified by the Corporation, any of the following records of the Corporation if the stockholder meets the requirements of subsection (c) of this Section 6.2 and gives the Corporation written notice of his or her demand at least five business days before the date on which he or she wishes to inspect and copy: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excerpts from minutes reflecting action taken at any meeting of the Board of Directors, records of any action of a committee of the Board of Directors while acting in place of the Board of Directors on behalf of the Corporation, minutes of any meeting of the stockholders, and records of action taken by the stockholders or Board of Directors without a meeting, to the extent not subject to inspection under subsection (a) of this Section 6.2;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accounting records of the Corporation, but if the financial statements of the Corporation are audited by a certified public accountant, inspection shall be limited to the financial statements and the supporting schedules reasonably necessary to verify any line item on those statements;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- 17 -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the record of stockholders described in Section 6.1(a) of these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A stockholder may inspect and copy the records described in subsection (b) of this Section 6.2 only if: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his or her demand is made in good faith and for a proper purpose;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he or she describes with reasonable particularity his or her purpose and the records he or she desires to inspect;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the records are directly connected with his or her purpose;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Corporation shall not have determined in good faith that disclosure of the records sought would adversely affect the Corporation in the conduct of its business or, in the case of a public corporation, constitutes material non-public information at the time when the stockholder’s notice of demand to inspect and copy is received by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For purposes of this Section 6.2, “stockholder” includes a beneficial owner whose shares are held in a voting trust or by a nominee on his or her behalf.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6.3. </w:t>
      </w:r>
      <w:r>
        <w:rPr>
          <w:rFonts w:ascii="Times New Roman" w:hAnsi="Times New Roman"/>
          <w:color w:val="000000"/>
          <w:sz w:val="20"/>
          <w:u w:val="single"/>
        </w:rPr>
        <w:t>Scope of Inspection Right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 stockholder’s agent or attorney has the same inspection and copying rights as the stockholder represented.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The Corporation may, if reasonable, satisfy the right of a stockholder to copy records under Section 6.2 of these By-Laws by furnishing to the stockholder copies by photocopy or other means chosen by the Corporation, including copies furnished through an electronic transmission.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The Corporation may impose a reasonable charge, covering the costs of labor, material, transmission and delivery, for copies of any documents provided to the stockholder. The charge may not exceed the estimated cost of production, reproduction, transmission or delivery of the records.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The Corporation may comply at its expense with a stockholder’s demand to inspect the record of stockholders under clause (3) of subsection (b) of Section 6.2 of these By-Laws by providing the stockholder with a list of stockholders that was compiled no earlier than the date of the stockholder’s demand. </w:t>
      </w:r>
    </w:p>
    <w:p>
      <w:pPr>
        <w:pStyle w:val="TextBody"/>
        <w:bidi w:val="0"/>
        <w:jc w:val="left"/>
        <w:rPr>
          <w:rFonts w:ascii="Times New Roman" w:hAnsi="Times New Roman"/>
          <w:color w:val="000000"/>
          <w:sz w:val="20"/>
        </w:rPr>
      </w:pPr>
      <w:r>
        <w:rPr>
          <w:rFonts w:ascii="Times New Roman" w:hAnsi="Times New Roman"/>
          <w:color w:val="000000"/>
          <w:sz w:val="20"/>
        </w:rPr>
        <w:t xml:space="preserve">(e) The Corporation may impose reasonable restrictions on the use or distribution of records by the demanding stockholder.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6.4. </w:t>
      </w:r>
      <w:r>
        <w:rPr>
          <w:rFonts w:ascii="Times New Roman" w:hAnsi="Times New Roman"/>
          <w:color w:val="000000"/>
          <w:sz w:val="20"/>
          <w:u w:val="single"/>
        </w:rPr>
        <w:t>Inspection of Records by Directors</w:t>
      </w:r>
      <w:r>
        <w:rPr>
          <w:rFonts w:ascii="Times New Roman" w:hAnsi="Times New Roman"/>
          <w:color w:val="000000"/>
          <w:sz w:val="20"/>
        </w:rPr>
        <w:t xml:space="preserve">. A Director is entitled to inspect and copy the books, records and documents of the Corporation at any reasonable time to the extent reasonably related to the performance of the Director’s duties as a Director, including duties as a member of a committee, but not for any other purpose or in any manner that would violate any duty to the Corporation.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MISCELLANEOUS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7.1. </w:t>
      </w:r>
      <w:r>
        <w:rPr>
          <w:rFonts w:ascii="Times New Roman" w:hAnsi="Times New Roman"/>
          <w:color w:val="000000"/>
          <w:sz w:val="20"/>
          <w:u w:val="single"/>
        </w:rPr>
        <w:t>Fiscal Year</w:t>
      </w:r>
      <w:r>
        <w:rPr>
          <w:rFonts w:ascii="Times New Roman" w:hAnsi="Times New Roman"/>
          <w:color w:val="000000"/>
          <w:sz w:val="20"/>
        </w:rPr>
        <w:t xml:space="preserve">. Except as otherwise determined from time to time by the Board of Directors, the fiscal year of the Corporation shall in each year end on December 31.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7.2. </w:t>
      </w:r>
      <w:r>
        <w:rPr>
          <w:rFonts w:ascii="Times New Roman" w:hAnsi="Times New Roman"/>
          <w:color w:val="000000"/>
          <w:sz w:val="20"/>
          <w:u w:val="single"/>
        </w:rPr>
        <w:t>Seal</w:t>
      </w:r>
      <w:r>
        <w:rPr>
          <w:rFonts w:ascii="Times New Roman" w:hAnsi="Times New Roman"/>
          <w:color w:val="000000"/>
          <w:sz w:val="20"/>
        </w:rPr>
        <w:t xml:space="preserve">. The seal of the Corporation shall, subject to alteration by the Board of Directors, bear the Corporation’s name, the word “Massachusetts” and the year of its incorporation.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- 18 -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7.3. </w:t>
      </w:r>
      <w:r>
        <w:rPr>
          <w:rFonts w:ascii="Times New Roman" w:hAnsi="Times New Roman"/>
          <w:color w:val="000000"/>
          <w:sz w:val="20"/>
          <w:u w:val="single"/>
        </w:rPr>
        <w:t>Voting of Securities</w:t>
      </w:r>
      <w:r>
        <w:rPr>
          <w:rFonts w:ascii="Times New Roman" w:hAnsi="Times New Roman"/>
          <w:color w:val="000000"/>
          <w:sz w:val="20"/>
        </w:rPr>
        <w:t xml:space="preserve">. Except as the Board of Directors may otherwise designate, the Chief Executive Officer, President or Treasurer may waive notice of, and act as, or appoint any person or persons to act as, proxy or attorney-in-fact for the Corporation (with or without power of substitution) at, any meeting of stockholders of any other corporation or organization, the securities of which may be held by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7.4. </w:t>
      </w:r>
      <w:r>
        <w:rPr>
          <w:rFonts w:ascii="Times New Roman" w:hAnsi="Times New Roman"/>
          <w:color w:val="000000"/>
          <w:sz w:val="20"/>
          <w:u w:val="single"/>
        </w:rPr>
        <w:t>Checks, Notes, Drafts and Other Instruments</w:t>
      </w:r>
      <w:r>
        <w:rPr>
          <w:rFonts w:ascii="Times New Roman" w:hAnsi="Times New Roman"/>
          <w:color w:val="000000"/>
          <w:sz w:val="20"/>
        </w:rPr>
        <w:t xml:space="preserve">. Checks, notes, drafts and other instruments for the payment of money drawn or endorsed in the name of the Corporation may be signed by any officer or officers or person or persons authorized by the Directors to sign the same. No officer or person shall sign any such instrument as aforesaid unless authorized by the Directors to do so.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7.5. </w:t>
      </w:r>
      <w:r>
        <w:rPr>
          <w:rFonts w:ascii="Times New Roman" w:hAnsi="Times New Roman"/>
          <w:color w:val="000000"/>
          <w:sz w:val="20"/>
          <w:u w:val="single"/>
        </w:rPr>
        <w:t>Evidence of Authority</w:t>
      </w:r>
      <w:r>
        <w:rPr>
          <w:rFonts w:ascii="Times New Roman" w:hAnsi="Times New Roman"/>
          <w:color w:val="000000"/>
          <w:sz w:val="20"/>
        </w:rPr>
        <w:t xml:space="preserve">. A certificate by the Secretary, an Assistant Secretary or a temporary Secretary as to any action taken by the stockholders, Directors, any committee or any officer or representative of the Corporation shall as to all persons who rely on the certificate in good faith be conclusive evidence of such action.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7.6. </w:t>
      </w:r>
      <w:r>
        <w:rPr>
          <w:rFonts w:ascii="Times New Roman" w:hAnsi="Times New Roman"/>
          <w:color w:val="000000"/>
          <w:sz w:val="20"/>
          <w:u w:val="single"/>
        </w:rPr>
        <w:t>Articles of Organization</w:t>
      </w:r>
      <w:r>
        <w:rPr>
          <w:rFonts w:ascii="Times New Roman" w:hAnsi="Times New Roman"/>
          <w:color w:val="000000"/>
          <w:sz w:val="20"/>
        </w:rPr>
        <w:t xml:space="preserve">. All references in these By-Laws to the Articles of Organization shall be deemed to refer to the Articles of Organization of the Corporation, as amended and in effect from time to time.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7.7. </w:t>
      </w:r>
      <w:r>
        <w:rPr>
          <w:rFonts w:ascii="Times New Roman" w:hAnsi="Times New Roman"/>
          <w:color w:val="000000"/>
          <w:sz w:val="20"/>
          <w:u w:val="single"/>
        </w:rPr>
        <w:t>Severability</w:t>
      </w:r>
      <w:r>
        <w:rPr>
          <w:rFonts w:ascii="Times New Roman" w:hAnsi="Times New Roman"/>
          <w:color w:val="000000"/>
          <w:sz w:val="20"/>
        </w:rPr>
        <w:t xml:space="preserve">. Any determination that any provision of these By-Laws is for any reason inapplicable, illegal or ineffective shall not affect or invalidate any other provision of these By-Laws.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7.8. </w:t>
      </w:r>
      <w:r>
        <w:rPr>
          <w:rFonts w:ascii="Times New Roman" w:hAnsi="Times New Roman"/>
          <w:color w:val="000000"/>
          <w:sz w:val="20"/>
          <w:u w:val="single"/>
        </w:rPr>
        <w:t>Pronouns</w:t>
      </w:r>
      <w:r>
        <w:rPr>
          <w:rFonts w:ascii="Times New Roman" w:hAnsi="Times New Roman"/>
          <w:color w:val="000000"/>
          <w:sz w:val="20"/>
        </w:rPr>
        <w:t xml:space="preserve">. All pronouns used in these By-Laws shall be deemed to refer to the masculine, feminine or neuter, singular or plural, as the identity of the person or persons may require.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7.9. </w:t>
      </w:r>
      <w:r>
        <w:rPr>
          <w:rFonts w:ascii="Times New Roman" w:hAnsi="Times New Roman"/>
          <w:color w:val="000000"/>
          <w:sz w:val="20"/>
          <w:u w:val="single"/>
        </w:rPr>
        <w:t>Massachusetts Control Share Acquisition Act</w:t>
      </w:r>
      <w:r>
        <w:rPr>
          <w:rFonts w:ascii="Times New Roman" w:hAnsi="Times New Roman"/>
          <w:color w:val="000000"/>
          <w:sz w:val="20"/>
        </w:rPr>
        <w:t xml:space="preserve">. The provisions of Chapter 110D of the Massachusetts General Laws shall not apply to the Corporation.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AMENDMENTS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By-Laws may be amended by the affirmative vote of the holders of a majority of the shares of each class of the capital stock at the time outstanding and entitled to vote at any annual or special meeting of stockholders, if notice of the substance of the proposed amendment is stated in the notice of such meeting. If authorized by the Articles of Organization, the Board of Directors, by a majority of their number then in office, may also make, amend or repeal these By-Laws, in whole or in part, except with respect to (a) the provisions of these By-Laws governing (i) the removal of Directors and (ii) the amendment of these By-Laws and (b) any provision of these By-Laws which by law, the Articles of Organization or these By-Laws requires action by the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later than the time of giving notice of the meeting of stockholders next following the making, amending or repealing by the Board of Directors of any By-Law, notice stating the substance of such change shall be given to all stockholders entitled to vote on amending the By-Laws. </w:t>
      </w:r>
    </w:p>
    <w:tbl>
      <w:tblPr>
        <w:tblW w:w="3601" w:type="dxa"/>
        <w:jc w:val="left"/>
        <w:tblInd w:w="0" w:type="dxa"/>
        <w:tblLayout w:type="fixed"/>
        <w:tblCellMar>
          <w:top w:w="28" w:type="dxa"/>
          <w:left w:w="28" w:type="dxa"/>
          <w:bottom w:w="28" w:type="dxa"/>
          <w:right w:w="28" w:type="dxa"/>
        </w:tblCellMar>
      </w:tblPr>
      <w:tblGrid>
        <w:gridCol w:w="3601"/>
      </w:tblGrid>
      <w:tr>
        <w:tc>
          <w:tcPr>
            <w:tcW w:w="3601" w:type="dxa"/>
            <w:tcBorders/>
            <w:vAlign w:val="center"/>
          </w:tcPr>
          <w:p>
            <w:pPr>
              <w:pStyle w:val="TableContents"/>
              <w:bidi w:val="0"/>
              <w:spacing w:before="0" w:after="283"/>
              <w:jc w:val="left"/>
              <w:rPr>
                <w:sz w:val="4"/>
                <w:szCs w:val="4"/>
              </w:rPr>
            </w:pPr>
            <w:r>
              <w:rPr>
                <w:sz w:val="4"/>
                <w:szCs w:val="4"/>
              </w:rPr>
            </w:r>
          </w:p>
        </w:tc>
      </w:tr>
      <w:tr>
        <w:tc>
          <w:tcPr>
            <w:tcW w:w="3601" w:type="dxa"/>
            <w:tcBorders/>
            <w:tcMar>
              <w:top w:w="0" w:type="dxa"/>
              <w:left w:w="0" w:type="dxa"/>
              <w:bottom w:w="0" w:type="dxa"/>
              <w:right w:w="0" w:type="dxa"/>
            </w:tcMar>
            <w:vAlign w:val="center"/>
          </w:tcPr>
          <w:p>
            <w:pPr>
              <w:pStyle w:val="TableContents"/>
              <w:bidi w:val="0"/>
              <w:spacing w:before="0" w:after="283"/>
              <w:jc w:val="left"/>
            </w:pPr>
            <w:r>
              <w:t> </w:t>
            </w:r>
          </w:p>
        </w:tc>
      </w:tr>
      <w:tr>
        <w:tc>
          <w:tcPr>
            <w:tcW w:w="36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Approved as Third Amended and Restated</w:t>
            </w:r>
          </w:p>
          <w:p>
            <w:pPr>
              <w:pStyle w:val="TableContents"/>
              <w:bidi w:val="0"/>
              <w:jc w:val="left"/>
              <w:rPr>
                <w:rFonts w:ascii="Times New Roman" w:hAnsi="Times New Roman"/>
                <w:color w:val="000000"/>
                <w:sz w:val="20"/>
              </w:rPr>
            </w:pPr>
            <w:r>
              <w:rPr>
                <w:rFonts w:ascii="Times New Roman" w:hAnsi="Times New Roman"/>
                <w:color w:val="000000"/>
                <w:sz w:val="20"/>
              </w:rPr>
              <w:t>By-Laws by the Board of Directors on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November 2, 2026</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- 19 -</w:t>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 w:name="mksi-ex99_1.htm"/>
      <w:bookmarkStart w:id="5" w:name="ksmksiex99_1"/>
      <w:bookmarkStart w:id="6" w:name="mksi-ex99_1.htm"/>
      <w:bookmarkStart w:id="7" w:name="ksmksiex99_1"/>
      <w:bookmarkEnd w:id="6"/>
      <w:bookmarkEnd w:id="7"/>
      <w:r>
        <w:br w:type="page"/>
      </w:r>
    </w:p>
    <w:tbl>
      <w:tblPr>
        <w:tblW w:w="3252" w:type="dxa"/>
        <w:jc w:val="left"/>
        <w:tblInd w:w="0" w:type="dxa"/>
        <w:tblLayout w:type="fixed"/>
        <w:tblCellMar>
          <w:top w:w="28" w:type="dxa"/>
          <w:left w:w="28" w:type="dxa"/>
          <w:bottom w:w="28" w:type="dxa"/>
          <w:right w:w="28" w:type="dxa"/>
        </w:tblCellMar>
      </w:tblPr>
      <w:tblGrid>
        <w:gridCol w:w="1721"/>
        <w:gridCol w:w="1531"/>
      </w:tblGrid>
      <w:tr>
        <w:tc>
          <w:tcPr>
            <w:tcW w:w="17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c>
          <w:tcPr>
            <w:tcW w:w="1721" w:type="dxa"/>
            <w:tcBorders/>
            <w:tcMar>
              <w:top w:w="0" w:type="dxa"/>
              <w:left w:w="0" w:type="dxa"/>
              <w:bottom w:w="0" w:type="dxa"/>
              <w:right w:w="0" w:type="dxa"/>
            </w:tcMar>
            <w:vAlign w:val="center"/>
          </w:tcPr>
          <w:p>
            <w:pPr>
              <w:pStyle w:val="TableContents"/>
              <w:bidi w:val="0"/>
              <w:spacing w:before="0" w:after="283"/>
              <w:jc w:val="left"/>
            </w:pPr>
            <w:r>
              <w:drawing>
                <wp:inline distT="0" distB="0" distL="0" distR="0">
                  <wp:extent cx="10287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66725"/>
                          </a:xfrm>
                          <a:prstGeom prst="rect">
                            <a:avLst/>
                          </a:prstGeom>
                        </pic:spPr>
                      </pic:pic>
                    </a:graphicData>
                  </a:graphic>
                </wp:inline>
              </w:drawing>
            </w:r>
          </w:p>
        </w:tc>
        <w:tc>
          <w:tcPr>
            <w:tcW w:w="15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EXHIBIT 99.1</w:t>
            </w:r>
          </w:p>
        </w:tc>
      </w:tr>
    </w:tbl>
    <w:p>
      <w:pPr>
        <w:pStyle w:val="TextBody"/>
        <w:bidi w:val="0"/>
        <w:jc w:val="left"/>
      </w:pPr>
      <w:r>
        <w:t> </w:t>
      </w:r>
    </w:p>
    <w:p>
      <w:pPr>
        <w:pStyle w:val="TextBody"/>
        <w:bidi w:val="0"/>
        <w:jc w:val="center"/>
        <w:rPr>
          <w:rFonts w:ascii="Times New Roman" w:hAnsi="Times New Roman"/>
          <w:b/>
          <w:color w:val="000000"/>
          <w:sz w:val="28"/>
        </w:rPr>
      </w:pPr>
      <w:r>
        <w:rPr>
          <w:rFonts w:ascii="Times New Roman" w:hAnsi="Times New Roman"/>
          <w:b/>
          <w:color w:val="000000"/>
          <w:sz w:val="28"/>
        </w:rPr>
        <w:t>MKS Inc. Reports Third Quarter 2026 Financial Results</w:t>
      </w:r>
    </w:p>
    <w:p>
      <w:pPr>
        <w:pStyle w:val="TextBody"/>
        <w:bidi w:val="0"/>
        <w:jc w:val="left"/>
      </w:pPr>
      <w: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 xml:space="preserve">Record revenue of $1,413 million, above the high end of guidance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Record GAAP net income of $236 million and record net income per diluted share of $3.26, each above the high end of guidance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i/>
          <w:color w:val="000000"/>
          <w:sz w:val="24"/>
        </w:rPr>
      </w:pPr>
      <w:r>
        <w:rPr>
          <w:rFonts w:ascii="Times New Roman" w:hAnsi="Times New Roman"/>
          <w:b/>
          <w:i/>
          <w:color w:val="000000"/>
          <w:sz w:val="24"/>
        </w:rPr>
        <w:t>Record Adjusted EBITDA of $434 million and record Non-GAAP net earnings per diluted share of $4.18, each above the high end of guidance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Andover, MA, November 4, 2026 -- MKS Inc. (NASDAQ: MKSI), a global provider of enabling technologies that transform our world, today reported its financial results for the third quarter of 2026.</w:t>
      </w:r>
    </w:p>
    <w:p>
      <w:pPr>
        <w:pStyle w:val="TextBody"/>
        <w:bidi w:val="0"/>
        <w:spacing w:before="120" w:after="283"/>
        <w:jc w:val="left"/>
        <w:rPr>
          <w:color w:val="000000"/>
        </w:rPr>
      </w:pPr>
      <w:r>
        <w:rPr>
          <w:color w:val="000000"/>
        </w:rPr>
        <w:t>“</w:t>
      </w:r>
      <w:r>
        <w:rPr>
          <w:rFonts w:ascii="Times New Roman" w:hAnsi="Times New Roman"/>
          <w:color w:val="000000"/>
          <w:sz w:val="24"/>
        </w:rPr>
        <w:t>Our business momentum continued to build in the third quarter. Revenue in each of our end markets was at or above the high end of our guidance, led by 54% year-over-year growth in Semiconductor and 43% growth in Electronics &amp; Packaging,” said John T.C. Lee, President and Chief Executive Officer. “From chips to substrates and advanced PCBs, the fundamental challenges of stacking, scaling, and new materials are becoming more integral in the AI era. MKS brings the broadest set of capabilities across both the semiconductor and advanced packaging markets to deliver foundational innovation, and that is driving robust orders and new design wins that set us up for continued strong performance.”</w:t>
      </w:r>
    </w:p>
    <w:p>
      <w:pPr>
        <w:pStyle w:val="TextBody"/>
        <w:bidi w:val="0"/>
        <w:spacing w:before="120" w:after="283"/>
        <w:jc w:val="left"/>
        <w:rPr>
          <w:color w:val="000000"/>
        </w:rPr>
      </w:pPr>
      <w:r>
        <w:rPr>
          <w:color w:val="000000"/>
        </w:rPr>
        <w:t>“</w:t>
      </w:r>
      <w:r>
        <w:rPr>
          <w:rFonts w:ascii="Times New Roman" w:hAnsi="Times New Roman"/>
          <w:color w:val="000000"/>
          <w:sz w:val="24"/>
        </w:rPr>
        <w:t>Q3 performance exceeded the high end of our guidance ranges for revenue and EPS, and we’re poised for a strong finish to 2026,” said Ram Mayampurath, Executive Vice President and Chief Financial Officer. “Our business model is delivering scale benefits that, combined with accelerating revenue, are driving gross and operating margin expansion, strong earnings growth and cash generation. With our exposure to attractive growth markets, mix of equipment solutions and consumables, and a healthy balance sheet, MKS is well positioned to generate significant, durable shareholder returns.”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4"/>
        </w:rPr>
      </w:pPr>
      <w:r>
        <w:rPr>
          <w:rFonts w:ascii="Times New Roman" w:hAnsi="Times New Roman"/>
          <w:b/>
          <w:color w:val="000000"/>
          <w:sz w:val="24"/>
        </w:rPr>
        <w:t>Selected GAAP and Non-GAAP Financial Measures</w:t>
      </w:r>
    </w:p>
    <w:p>
      <w:pPr>
        <w:pStyle w:val="TextBody"/>
        <w:bidi w:val="0"/>
        <w:jc w:val="center"/>
        <w:rPr>
          <w:rFonts w:ascii="Times New Roman" w:hAnsi="Times New Roman"/>
          <w:b/>
          <w:color w:val="000000"/>
          <w:sz w:val="24"/>
        </w:rPr>
      </w:pPr>
      <w:r>
        <w:rPr>
          <w:rFonts w:ascii="Times New Roman" w:hAnsi="Times New Roman"/>
          <w:b/>
          <w:color w:val="000000"/>
          <w:sz w:val="24"/>
        </w:rPr>
        <w:t>(In millions, except per share data)</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49"/>
        <w:gridCol w:w="244"/>
        <w:gridCol w:w="699"/>
        <w:gridCol w:w="301"/>
        <w:gridCol w:w="146"/>
        <w:gridCol w:w="244"/>
        <w:gridCol w:w="699"/>
        <w:gridCol w:w="301"/>
        <w:gridCol w:w="146"/>
        <w:gridCol w:w="283"/>
        <w:gridCol w:w="660"/>
        <w:gridCol w:w="301"/>
        <w:gridCol w:w="146"/>
        <w:gridCol w:w="244"/>
        <w:gridCol w:w="699"/>
        <w:gridCol w:w="301"/>
        <w:gridCol w:w="146"/>
        <w:gridCol w:w="244"/>
        <w:gridCol w:w="699"/>
        <w:gridCol w:w="353"/>
      </w:tblGrid>
      <w:tr>
        <w:tc>
          <w:tcPr>
            <w:tcW w:w="33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Three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Nine Months Ended</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Q3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Q2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Q3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Q3 2025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Net Revenues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Semiconductor</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1,261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Electronics &amp; Packaging</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809</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Specialty Industrial</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963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828</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Total net revenues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2,898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Gross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46.9</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Financial Measures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Operating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income</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188</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income per diluted share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Non-GAAP Financial Measures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Operating margin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earnings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earnings per diluted share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120" w:after="240"/>
        <w:jc w:val="left"/>
        <w:rPr>
          <w:rFonts w:ascii="Times New Roman" w:hAnsi="Times New Roman"/>
          <w:b/>
          <w:color w:val="000000"/>
          <w:sz w:val="24"/>
        </w:rPr>
      </w:pPr>
      <w:r>
        <w:rPr>
          <w:rFonts w:ascii="Times New Roman" w:hAnsi="Times New Roman"/>
          <w:b/>
          <w:color w:val="000000"/>
          <w:sz w:val="24"/>
        </w:rPr>
        <w:t>Additional Financial Information</w:t>
      </w:r>
    </w:p>
    <w:p>
      <w:pPr>
        <w:pStyle w:val="TextBody"/>
        <w:bidi w:val="0"/>
        <w:spacing w:before="0" w:after="120"/>
        <w:jc w:val="left"/>
        <w:rPr>
          <w:rFonts w:ascii="Times New Roman" w:hAnsi="Times New Roman"/>
          <w:sz w:val="22"/>
        </w:rPr>
      </w:pPr>
      <w:r>
        <w:rPr>
          <w:rFonts w:ascii="Times New Roman" w:hAnsi="Times New Roman"/>
          <w:color w:val="000000"/>
          <w:sz w:val="24"/>
        </w:rPr>
        <w:t xml:space="preserve">At September 30, 2026, the Company had $676 million in cash and cash equivalents, $1.3 billion of secured term loan principal outstanding, $1.4 billion of convertible senior notes outstanding, </w:t>
      </w:r>
      <w:r>
        <w:rPr>
          <w:rFonts w:ascii="Times New Roman" w:hAnsi="Times New Roman"/>
          <w:color w:val="000000"/>
          <w:sz w:val="22"/>
        </w:rPr>
        <w:t>€</w:t>
      </w:r>
      <w:r>
        <w:rPr>
          <w:rFonts w:ascii="Times New Roman" w:hAnsi="Times New Roman"/>
          <w:color w:val="000000"/>
          <w:sz w:val="24"/>
        </w:rPr>
        <w:t>1.0 billion of senior notes outstanding and up to $1.0 billion of additional borrowing capacity under a revolving credit facility, subject to certain leverage ratio requirements. During the third quarter of 2026, the trading price of our common stock continued to satisfy the stock price conversion condition under the indenture governing our convertible senior notes. As a result, the convertible senior notes are convertible, in whole or in part, at the option of the noteholders at any time during the fourth quarter of 2026, and were classified as short-term debt, net of issuances costs, at September 30, 2026.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In November 2026, the Company made a voluntary principal prepayment of $100 million on its USD term loan B.</w:t>
      </w:r>
    </w:p>
    <w:p>
      <w:pPr>
        <w:pStyle w:val="TextBody"/>
        <w:bidi w:val="0"/>
        <w:spacing w:lineRule="auto" w:line="360"/>
        <w:jc w:val="left"/>
        <w:rPr>
          <w:rFonts w:ascii="Times New Roman" w:hAnsi="Times New Roman"/>
          <w:sz w:val="16"/>
        </w:rPr>
      </w:pPr>
      <w:r>
        <w:rPr>
          <w:rFonts w:ascii="Times New Roman" w:hAnsi="Times New Roman"/>
          <w:b/>
          <w:color w:val="000000"/>
          <w:sz w:val="24"/>
        </w:rPr>
        <w:t>Fourth Quarter 2026 Guidance</w:t>
      </w:r>
      <w:r>
        <w:rPr>
          <w:rFonts w:ascii="Times New Roman" w:hAnsi="Times New Roman"/>
          <w:color w:val="000000"/>
          <w:sz w:val="16"/>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Revenue of $1,490 million, plus or minus $40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Gross margin of 47.5%, plus or minus 1.0%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operating expenses of $355 million, plus or minus $5 million and Non-GAAP operating expenses of $288 million, plus or minus $5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net income of $294 million, plus or minus $28 million and Non-GAAP net earnings of $352 million, plus or minus $27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GAAP net income per diluted share of $4.04, plus or minus $0.38 and Non-GAAP net earnings per diluted share of $5.00, plus or minus $0.38</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Adjusted EBITDA of $461 million, plus or minus $29 million</w:t>
      </w:r>
    </w:p>
    <w:p>
      <w:pPr>
        <w:pStyle w:val="TextBody"/>
        <w:bidi w:val="0"/>
        <w:spacing w:lineRule="auto" w:line="360"/>
        <w:jc w:val="left"/>
        <w:rPr>
          <w:rFonts w:ascii="Times New Roman" w:hAnsi="Times New Roman"/>
          <w:sz w:val="16"/>
        </w:rPr>
      </w:pPr>
      <w:r>
        <w:rPr>
          <w:rFonts w:ascii="Times New Roman" w:hAnsi="Times New Roman"/>
          <w:color w:val="000000"/>
          <w:sz w:val="24"/>
        </w:rPr>
        <w:t>The guidance for the fourth quarter does not include the impact of the Company’s pending sale of its Ophir</w:t>
      </w:r>
      <w:r>
        <w:rPr>
          <w:rFonts w:ascii="Times New Roman" w:hAnsi="Times New Roman"/>
          <w:color w:val="000000"/>
          <w:sz w:val="16"/>
        </w:rPr>
        <w:t xml:space="preserve">® </w:t>
      </w:r>
      <w:r>
        <w:rPr>
          <w:rFonts w:ascii="Times New Roman" w:hAnsi="Times New Roman"/>
          <w:color w:val="000000"/>
          <w:sz w:val="24"/>
        </w:rPr>
        <w:t>Optics business and is based on the current business environment, including the impact of U.S. import tariffs and the imposition of retaliatory actions taken by other countries up through but not including the date of this release. The Company will continue to monitor and adapt to changes in the business environment as needed.</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Conference Call Details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conference call with management will be held on Thursday, November 5, 2026 at 8:30 a.m. (Eastern Time). To participate in the call by phone, participants should visit the Investor Relations section of MKS’ website at investor.mks.com and click on Events &amp; Presentations, where you will be able to register online and receive dial-in details. We encourage participants to register and dial in to the conference call at least 15 minutes before the start of the call to ensure a timely connection. A live and archived webcast and related presentation materials will be available on the Investor Relations section of the MKS website.</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About MKS Inc.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MKS Inc. (NASDAQ: MKSI)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 Additional information can be found at www.mks.com.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Use of Non-GAAP Financial Results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This press release includes financial measures that are not in accordance with U.S. generally accepted accounting principles (“Non-GAAP financial measures”). These Non-GAAP financial measures should be viewed in addition to, and not as a substitute for, MKS’ reported results under U.S. generally accepted accounting principles (“GAAP”),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 For further information regarding these Non-GAAP financial measures, please refer to the tables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presenting reconciliations of our Non-GAAP results to our GAAP results and the “Notes on Our Non-GAAP Financial Information” at the end of this press release.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SAFE HARBOR FOR FORWARD-LOOKING STATEMENTS</w:t>
      </w:r>
    </w:p>
    <w:p>
      <w:pPr>
        <w:pStyle w:val="TextBody"/>
        <w:bidi w:val="0"/>
        <w:jc w:val="left"/>
        <w:rPr>
          <w:rFonts w:ascii="Times New Roman" w:hAnsi="Times New Roman"/>
          <w:color w:val="000000"/>
          <w:sz w:val="24"/>
        </w:rPr>
      </w:pPr>
      <w:r>
        <w:rPr>
          <w:rFonts w:ascii="Times New Roman" w:hAnsi="Times New Roman"/>
          <w:color w:val="000000"/>
          <w:sz w:val="24"/>
        </w:rPr>
        <w:t xml:space="preserve">This press release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level and terms of our substantial indebtedness and our ability to service such debt; risks related to pursuing, completing, and/or failing to realize the benefits of acquisitions and other strategic transactions, including the pending sale of our Ophir Optics business; risks related to cybersecurity, data privacy and intellectual property; manufacturing and sourcing risks, including supply chain disruptions, component shortages and price increases, the use of limited, sole source and international suppliers, the relocation of manufacturing operations, and product defects; risks associated with doing business internationally, including geopolitical conflicts, trade compliance, trade protection measures, such as import tariffs by the United States and/or retaliatory actions taken by other countries, regulatory restrictions on our products, components or markets, particularly the semiconductor market, and unfavorable currency exchange and tax rate fluctuations; conditions affecting the markets in which we operate, including intense competition, rapid technological and market changes, dependence on new product development, the ability to anticipate and meet customer demand, fluctuations in capital spending in the semiconductor, electronics manufacturing and automotive industries, and fluctuations in sales to our major customers; disruptions or delays from third-party service providers upon which our operations may rely; risks associated with the attraction and retention of key personnel; potential fluctuations in quarterly results; volatility of stock price; risks associated with chemical manufacturing and environmental regulation compliance; risks associated with artificial intelligence (“AI”); financial and legal risk management; and the other important factors described under the heading “Risk Factors” in Part I, Item 1A of our Annual Report on Form 10-K for the year ended December 31, 2025 filed with the U.S. Securities and Exchange Commission and any subsequent Quarterly Reports on Form 10-Q. MKS is under no obligation to, and expressly disclaims any obligation to, update or alter these forward-looking statements, whether as a result of new information, future events or otherwise, even if subsequent events cause our views to change, after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rPr>
          <w:rFonts w:ascii="Times New Roman" w:hAnsi="Times New Roman"/>
          <w:color w:val="000000"/>
          <w:sz w:val="24"/>
        </w:rPr>
      </w:pPr>
      <w:r>
        <w:rPr>
          <w:rFonts w:ascii="Times New Roman" w:hAnsi="Times New Roman"/>
          <w:color w:val="000000"/>
          <w:sz w:val="24"/>
        </w:rPr>
        <w:t xml:space="preserve">date of this press release. Amounts reported in this press release are preliminary and subject to finalization prior to the filing of our Quarterly Report on Form 10-Q for the quarter ended September 30, 2026. </w:t>
      </w:r>
    </w:p>
    <w:p>
      <w:pPr>
        <w:pStyle w:val="TextBody"/>
        <w:bidi w:val="0"/>
        <w:jc w:val="left"/>
      </w:pPr>
      <w:r>
        <w:t> </w:t>
      </w:r>
    </w:p>
    <w:p>
      <w:pPr>
        <w:pStyle w:val="TextBody"/>
        <w:bidi w:val="0"/>
        <w:jc w:val="left"/>
        <w:rPr>
          <w:rFonts w:ascii="Times New Roman" w:hAnsi="Times New Roman"/>
          <w:sz w:val="24"/>
        </w:rPr>
      </w:pPr>
      <w:r>
        <w:rPr>
          <w:rFonts w:ascii="Times New Roman" w:hAnsi="Times New Roman"/>
          <w:color w:val="000000"/>
          <w:sz w:val="24"/>
          <w:u w:val="single"/>
        </w:rPr>
        <w:t>Company Contact</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Paretosh Misra</w:t>
      </w:r>
    </w:p>
    <w:p>
      <w:pPr>
        <w:pStyle w:val="TextBody"/>
        <w:bidi w:val="0"/>
        <w:jc w:val="left"/>
        <w:rPr>
          <w:rFonts w:ascii="Times New Roman" w:hAnsi="Times New Roman"/>
          <w:color w:val="000000"/>
          <w:sz w:val="24"/>
        </w:rPr>
      </w:pPr>
      <w:r>
        <w:rPr>
          <w:rFonts w:ascii="Times New Roman" w:hAnsi="Times New Roman"/>
          <w:color w:val="000000"/>
          <w:sz w:val="24"/>
        </w:rPr>
        <w:t>Vice President, Investor Relations</w:t>
      </w:r>
    </w:p>
    <w:p>
      <w:pPr>
        <w:pStyle w:val="TextBody"/>
        <w:bidi w:val="0"/>
        <w:jc w:val="left"/>
        <w:rPr>
          <w:rFonts w:ascii="Times New Roman" w:hAnsi="Times New Roman"/>
          <w:color w:val="000000"/>
          <w:sz w:val="24"/>
        </w:rPr>
      </w:pPr>
      <w:r>
        <w:rPr>
          <w:rFonts w:ascii="Times New Roman" w:hAnsi="Times New Roman"/>
          <w:color w:val="000000"/>
          <w:sz w:val="24"/>
        </w:rPr>
        <w:t>Telephone: (978) 284-4705</w:t>
      </w:r>
    </w:p>
    <w:p>
      <w:pPr>
        <w:pStyle w:val="TextBody"/>
        <w:bidi w:val="0"/>
        <w:jc w:val="left"/>
        <w:rPr>
          <w:rFonts w:ascii="Times New Roman" w:hAnsi="Times New Roman"/>
          <w:color w:val="000000"/>
          <w:sz w:val="24"/>
        </w:rPr>
      </w:pPr>
      <w:r>
        <w:rPr>
          <w:rFonts w:ascii="Times New Roman" w:hAnsi="Times New Roman"/>
          <w:color w:val="000000"/>
          <w:sz w:val="24"/>
        </w:rPr>
        <w:t>Email: paretosh.misra@mks.com</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722"/>
        <w:gridCol w:w="272"/>
        <w:gridCol w:w="711"/>
        <w:gridCol w:w="166"/>
        <w:gridCol w:w="146"/>
        <w:gridCol w:w="196"/>
        <w:gridCol w:w="511"/>
        <w:gridCol w:w="166"/>
        <w:gridCol w:w="146"/>
        <w:gridCol w:w="312"/>
        <w:gridCol w:w="671"/>
        <w:gridCol w:w="166"/>
        <w:gridCol w:w="146"/>
        <w:gridCol w:w="272"/>
        <w:gridCol w:w="711"/>
        <w:gridCol w:w="166"/>
        <w:gridCol w:w="146"/>
        <w:gridCol w:w="272"/>
        <w:gridCol w:w="711"/>
        <w:gridCol w:w="596"/>
      </w:tblGrid>
      <w:tr>
        <w:tc>
          <w:tcPr>
            <w:tcW w:w="37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Months Ended</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net revenues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 (exclusive of amortization shown separately below)</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and other</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settlement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common share:</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 per common share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pPr>
      <w:r>
        <w:t> </w:t>
      </w:r>
    </w:p>
    <w:tbl>
      <w:tblPr>
        <w:tblW w:w="7390" w:type="dxa"/>
        <w:jc w:val="left"/>
        <w:tblInd w:w="0" w:type="dxa"/>
        <w:tblLayout w:type="fixed"/>
        <w:tblCellMar>
          <w:top w:w="28" w:type="dxa"/>
          <w:left w:w="28" w:type="dxa"/>
          <w:bottom w:w="28" w:type="dxa"/>
          <w:right w:w="28" w:type="dxa"/>
        </w:tblCellMar>
      </w:tblPr>
      <w:tblGrid>
        <w:gridCol w:w="4066"/>
        <w:gridCol w:w="146"/>
        <w:gridCol w:w="339"/>
        <w:gridCol w:w="921"/>
        <w:gridCol w:w="146"/>
        <w:gridCol w:w="146"/>
        <w:gridCol w:w="327"/>
        <w:gridCol w:w="888"/>
        <w:gridCol w:w="411"/>
      </w:tblGrid>
      <w:t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66"/>
        <w:gridCol w:w="282"/>
        <w:gridCol w:w="644"/>
        <w:gridCol w:w="166"/>
        <w:gridCol w:w="146"/>
        <w:gridCol w:w="211"/>
        <w:gridCol w:w="481"/>
        <w:gridCol w:w="166"/>
        <w:gridCol w:w="146"/>
        <w:gridCol w:w="282"/>
        <w:gridCol w:w="644"/>
        <w:gridCol w:w="166"/>
        <w:gridCol w:w="346"/>
        <w:gridCol w:w="232"/>
        <w:gridCol w:w="695"/>
        <w:gridCol w:w="346"/>
        <w:gridCol w:w="346"/>
        <w:gridCol w:w="282"/>
        <w:gridCol w:w="644"/>
        <w:gridCol w:w="614"/>
      </w:tblGrid>
      <w:tr>
        <w:tc>
          <w:tcPr>
            <w:tcW w:w="33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Months Ended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 loss on foreign currency and derivative instruments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 and original issue discounts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investments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 of long-lived assets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Repurchase of common stock</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borrowings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borrowings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deferred financing fees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 payments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payments related to employee stock awards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financing activities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The following supplemental Non-GAAP earnings information is presented to aid in understanding MKS’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19"/>
        <w:gridCol w:w="325"/>
        <w:gridCol w:w="701"/>
        <w:gridCol w:w="256"/>
        <w:gridCol w:w="146"/>
        <w:gridCol w:w="211"/>
        <w:gridCol w:w="455"/>
        <w:gridCol w:w="256"/>
        <w:gridCol w:w="146"/>
        <w:gridCol w:w="325"/>
        <w:gridCol w:w="701"/>
        <w:gridCol w:w="256"/>
        <w:gridCol w:w="146"/>
        <w:gridCol w:w="284"/>
        <w:gridCol w:w="743"/>
        <w:gridCol w:w="256"/>
        <w:gridCol w:w="146"/>
        <w:gridCol w:w="325"/>
        <w:gridCol w:w="701"/>
        <w:gridCol w:w="507"/>
      </w:tblGrid>
      <w:tr>
        <w:tc>
          <w:tcPr>
            <w:tcW w:w="331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Months Ended</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 per diluted share</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diluted shares outstanding</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debt capped calls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weighted average diluted shares outstanding</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plant and equipment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Free cash flow</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expenses</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margin</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income from operations</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margin</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interest expense, net</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margin</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pPr>
      <w:r>
        <w:t> </w:t>
      </w:r>
    </w:p>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555"/>
        <w:gridCol w:w="146"/>
        <w:gridCol w:w="351"/>
        <w:gridCol w:w="649"/>
        <w:gridCol w:w="172"/>
        <w:gridCol w:w="172"/>
        <w:gridCol w:w="428"/>
        <w:gridCol w:w="758"/>
        <w:gridCol w:w="172"/>
        <w:gridCol w:w="172"/>
        <w:gridCol w:w="872"/>
        <w:gridCol w:w="146"/>
        <w:gridCol w:w="328"/>
        <w:gridCol w:w="630"/>
        <w:gridCol w:w="153"/>
        <w:gridCol w:w="153"/>
        <w:gridCol w:w="428"/>
        <w:gridCol w:w="758"/>
        <w:gridCol w:w="153"/>
        <w:gridCol w:w="153"/>
        <w:gridCol w:w="856"/>
      </w:tblGrid>
      <w:tr>
        <w:tc>
          <w:tcPr>
            <w:tcW w:w="2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4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61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June 30, 2026</w:t>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Income </w:t>
              <w:br/>
              <w:t xml:space="preserve">Before </w:t>
              <w:br/>
              <w:t>Income Taxes</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c>
          <w:tcPr>
            <w:tcW w:w="2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17.8%</w:t>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19.6%</w:t>
            </w:r>
          </w:p>
        </w:tc>
      </w:tr>
    </w:tbl>
    <w:p>
      <w:pPr>
        <w:pStyle w:val="TextBody"/>
        <w:bidi w:val="0"/>
        <w:jc w:val="center"/>
      </w:pPr>
      <w:r>
        <w:t> </w:t>
      </w:r>
    </w:p>
    <w:tbl>
      <w:tblPr>
        <w:tblW w:w="8300" w:type="dxa"/>
        <w:jc w:val="left"/>
        <w:tblInd w:w="0" w:type="dxa"/>
        <w:tblLayout w:type="fixed"/>
        <w:tblCellMar>
          <w:top w:w="28" w:type="dxa"/>
          <w:left w:w="28" w:type="dxa"/>
          <w:bottom w:w="28" w:type="dxa"/>
          <w:right w:w="28" w:type="dxa"/>
        </w:tblCellMar>
      </w:tblPr>
      <w:tblGrid>
        <w:gridCol w:w="3036"/>
        <w:gridCol w:w="146"/>
        <w:gridCol w:w="146"/>
        <w:gridCol w:w="146"/>
        <w:gridCol w:w="146"/>
        <w:gridCol w:w="146"/>
        <w:gridCol w:w="146"/>
        <w:gridCol w:w="146"/>
        <w:gridCol w:w="396"/>
        <w:gridCol w:w="759"/>
        <w:gridCol w:w="181"/>
        <w:gridCol w:w="181"/>
        <w:gridCol w:w="487"/>
        <w:gridCol w:w="863"/>
        <w:gridCol w:w="181"/>
        <w:gridCol w:w="181"/>
        <w:gridCol w:w="1013"/>
      </w:tblGrid>
      <w:t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c>
          <w:tcPr>
            <w:tcW w:w="30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4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September 30, 2025</w:t>
            </w:r>
          </w:p>
        </w:tc>
      </w:tr>
      <w:tr>
        <w:tc>
          <w:tcPr>
            <w:tcW w:w="30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12.3%</w:t>
            </w:r>
          </w:p>
        </w:tc>
      </w:tr>
      <w:t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17.9%</w:t>
            </w:r>
          </w:p>
        </w:tc>
      </w:tr>
    </w:tbl>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770"/>
        <w:gridCol w:w="146"/>
        <w:gridCol w:w="330"/>
        <w:gridCol w:w="608"/>
        <w:gridCol w:w="164"/>
        <w:gridCol w:w="164"/>
        <w:gridCol w:w="383"/>
        <w:gridCol w:w="738"/>
        <w:gridCol w:w="164"/>
        <w:gridCol w:w="164"/>
        <w:gridCol w:w="832"/>
        <w:gridCol w:w="146"/>
        <w:gridCol w:w="318"/>
        <w:gridCol w:w="585"/>
        <w:gridCol w:w="164"/>
        <w:gridCol w:w="164"/>
        <w:gridCol w:w="404"/>
        <w:gridCol w:w="717"/>
        <w:gridCol w:w="164"/>
        <w:gridCol w:w="164"/>
        <w:gridCol w:w="916"/>
      </w:tblGrid>
      <w:tr>
        <w:tc>
          <w:tcPr>
            <w:tcW w:w="2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4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Nine Months Ended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59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Nine Months Ended September 30, 2025</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Income Before</w:t>
              <w:br/>
              <w:t>Income Taxes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Income </w:t>
              <w:br/>
              <w:t xml:space="preserve">Before </w:t>
              <w:br/>
              <w:t>Income Taxes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Provision</w:t>
              <w:br/>
              <w:t>for Income Taxes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Effective</w:t>
              <w:br/>
              <w:t>Tax Rate</w:t>
            </w:r>
          </w:p>
        </w:tc>
      </w:tr>
      <w:t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12.7%</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de-designation of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Fees and expenses related to debt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Non-GAAP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18.7%</w:t>
            </w:r>
          </w:p>
        </w:tc>
      </w:tr>
    </w:tbl>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MKS Inc.</w:t>
      </w:r>
    </w:p>
    <w:p>
      <w:pPr>
        <w:pStyle w:val="TextBody"/>
        <w:bidi w:val="0"/>
        <w:jc w:val="center"/>
        <w:rPr>
          <w:rFonts w:ascii="Times New Roman" w:hAnsi="Times New Roman"/>
          <w:b/>
          <w:color w:val="000000"/>
          <w:sz w:val="20"/>
        </w:rPr>
      </w:pPr>
      <w:r>
        <w:rPr>
          <w:rFonts w:ascii="Times New Roman" w:hAnsi="Times New Roman"/>
          <w:b/>
          <w:color w:val="000000"/>
          <w:sz w:val="20"/>
        </w:rPr>
        <w:t>Schedule Reconciling Selected Non-GAAP Financial Measures - Q4’26 Guidance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7245" w:type="dxa"/>
        <w:jc w:val="left"/>
        <w:tblInd w:w="0" w:type="dxa"/>
        <w:tblLayout w:type="fixed"/>
        <w:tblCellMar>
          <w:top w:w="28" w:type="dxa"/>
          <w:left w:w="28" w:type="dxa"/>
          <w:bottom w:w="28" w:type="dxa"/>
          <w:right w:w="28" w:type="dxa"/>
        </w:tblCellMar>
      </w:tblPr>
      <w:tblGrid>
        <w:gridCol w:w="3796"/>
        <w:gridCol w:w="428"/>
        <w:gridCol w:w="920"/>
        <w:gridCol w:w="362"/>
        <w:gridCol w:w="428"/>
        <w:gridCol w:w="920"/>
        <w:gridCol w:w="391"/>
      </w:tblGrid>
      <w:tr>
        <w:tc>
          <w:tcPr>
            <w:tcW w:w="37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Ending 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Amount</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income and net income per share</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Restructuring and other</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intangible assets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debt issuance costs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effect of Non-GAAP adjustments</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earnings and net earnings per share</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diluted shares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debt capped calls</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weighted average diluted shares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expenses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Restructuring and other</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intangible assets</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expenses</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income</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spacing w:before="12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spacing w:before="0" w:after="12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MKS Inc.</w:t>
        <w:br/>
        <w:t>Notes on Our Non-GAAP Financial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Non-GAAP financial measures adjust GAAP financial measures for the items listed below. These Non-GAAP financial measures should be viewed in addition to, and not as a substitute for, MKS’ reported GAAP results,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 Totals presented may not sum and percentages may not recalculate using figures presented due to rounding.</w:t>
      </w:r>
    </w:p>
    <w:p>
      <w:pPr>
        <w:pStyle w:val="TextBody"/>
        <w:bidi w:val="0"/>
        <w:spacing w:before="0" w:after="120"/>
        <w:jc w:val="left"/>
      </w:pPr>
      <w:r>
        <w:t> </w:t>
      </w:r>
    </w:p>
    <w:p>
      <w:pPr>
        <w:pStyle w:val="TextBody"/>
        <w:bidi w:val="0"/>
        <w:spacing w:before="0" w:after="120"/>
        <w:jc w:val="left"/>
        <w:rPr>
          <w:rFonts w:ascii="Times New Roman" w:hAnsi="Times New Roman"/>
          <w:sz w:val="20"/>
        </w:rPr>
      </w:pPr>
      <w:r>
        <w:rPr>
          <w:rFonts w:ascii="Times New Roman" w:hAnsi="Times New Roman"/>
          <w:b/>
          <w:color w:val="000000"/>
          <w:sz w:val="20"/>
        </w:rPr>
        <w:t>Restructuring and other</w:t>
      </w:r>
      <w:r>
        <w:rPr>
          <w:rFonts w:ascii="Times New Roman" w:hAnsi="Times New Roman"/>
          <w:color w:val="000000"/>
          <w:sz w:val="20"/>
        </w:rPr>
        <w:t xml:space="preserve"> includes incremental expenses incurred in connection with restructuring programs and other strategic initiatives, primarily related to changes in business and/or cost structure. Such costs may include third-party services, one-time termination benefits, facility-related costs, contract termination fees and other items that have no direct correlation to our future business operations.</w:t>
      </w:r>
    </w:p>
    <w:p>
      <w:pPr>
        <w:pStyle w:val="TextBody"/>
        <w:bidi w:val="0"/>
        <w:spacing w:before="0" w:after="120"/>
        <w:jc w:val="left"/>
        <w:rPr>
          <w:rFonts w:ascii="Times New Roman" w:hAnsi="Times New Roman"/>
          <w:sz w:val="20"/>
        </w:rPr>
      </w:pPr>
      <w:r>
        <w:rPr>
          <w:rFonts w:ascii="Times New Roman" w:hAnsi="Times New Roman"/>
          <w:b/>
          <w:color w:val="000000"/>
          <w:sz w:val="20"/>
        </w:rPr>
        <w:t>Legal settlement</w:t>
      </w:r>
      <w:r>
        <w:rPr>
          <w:rFonts w:ascii="Times New Roman" w:hAnsi="Times New Roman"/>
          <w:color w:val="000000"/>
          <w:sz w:val="20"/>
        </w:rPr>
        <w:t xml:space="preserve"> includes charges related to the resolution of legal matters.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Amortization of intangible assets </w:t>
      </w:r>
      <w:r>
        <w:rPr>
          <w:rFonts w:ascii="Times New Roman" w:hAnsi="Times New Roman"/>
          <w:color w:val="000000"/>
          <w:sz w:val="20"/>
        </w:rPr>
        <w:t>includes non-cash amortization expense associated with intangible assets acquired in acquisitions.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Loss on extinguishment of debt </w:t>
      </w:r>
      <w:r>
        <w:rPr>
          <w:rFonts w:ascii="Times New Roman" w:hAnsi="Times New Roman"/>
          <w:color w:val="000000"/>
          <w:sz w:val="20"/>
        </w:rPr>
        <w:t xml:space="preserve">includes the non-cash write-off of unamortized debt issuance costs and original issue discount costs incurred from voluntary prepayments, refinancings and/or repricings of our term loan facility. </w:t>
      </w:r>
    </w:p>
    <w:p>
      <w:pPr>
        <w:pStyle w:val="TextBody"/>
        <w:bidi w:val="0"/>
        <w:spacing w:before="0" w:after="120"/>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includes non-cash additional interest expense related to the amortization of debt issuance costs associated with our debt.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Loss from de-designation of interest rate hedges </w:t>
      </w:r>
      <w:r>
        <w:rPr>
          <w:rFonts w:ascii="Times New Roman" w:hAnsi="Times New Roman"/>
          <w:color w:val="000000"/>
          <w:sz w:val="20"/>
        </w:rPr>
        <w:t xml:space="preserve">includes a cash loss from the de-designation of certain interest rate hedges in connection with the voluntary prepayment of the USD term loan B.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Fees and expenses related to debt activities </w:t>
      </w:r>
      <w:r>
        <w:rPr>
          <w:rFonts w:ascii="Times New Roman" w:hAnsi="Times New Roman"/>
          <w:color w:val="000000"/>
          <w:sz w:val="20"/>
        </w:rPr>
        <w:t xml:space="preserve">includes direct third-party costs related to repricings or refinancings of our term loan facility and the issuance of our €1.0 billion of senior notes due 2034 in February 2026. </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Convertible debt capped calls </w:t>
      </w:r>
      <w:r>
        <w:rPr>
          <w:rFonts w:ascii="Times New Roman" w:hAnsi="Times New Roman"/>
          <w:color w:val="000000"/>
          <w:sz w:val="20"/>
        </w:rPr>
        <w:t>includes the antidilutive impact of the capped call transactions entered into in connection with the issuance of $1.4 billion of convertible senior notes in May 2024. The capped calls are designed to reduce potential dilution to the Company’s common stock and/or offset cash payments in excess of the principal upon conversion of the notes, subject to a cap. Because the capped calls are excluded from GAAP diluted share calculations, GAAP and Non</w:t>
        <w:noBreakHyphen/>
        <w:t>GAAP diluted share counts will differ.</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Tax effect of Non-GAAP adjustments </w:t>
      </w:r>
      <w:r>
        <w:rPr>
          <w:rFonts w:ascii="Times New Roman" w:hAnsi="Times New Roman"/>
          <w:color w:val="000000"/>
          <w:sz w:val="20"/>
        </w:rPr>
        <w:t xml:space="preserve">includes the impact of Non-GAAP adjustments that are tax effected at applicable statutory rates resulting in a difference between the GAAP and Non-GAAP tax rates.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8" w:name="mksi-ex99_2.htm"/>
      <w:bookmarkStart w:id="9" w:name="ksmksiex99_2"/>
      <w:bookmarkEnd w:id="8"/>
      <w:bookmarkEnd w:id="9"/>
      <w:r>
        <w:t> </w:t>
      </w:r>
      <w:r>
        <w:br w:type="page"/>
      </w:r>
    </w:p>
    <w:p>
      <w:pPr>
        <w:pStyle w:val="TextBody"/>
        <w:bidi w:val="0"/>
        <w:jc w:val="left"/>
      </w:pPr>
      <w:r>
        <w:t> </w:t>
      </w:r>
    </w:p>
    <w:tbl>
      <w:tblPr>
        <w:tblW w:w="2682" w:type="dxa"/>
        <w:jc w:val="left"/>
        <w:tblInd w:w="0" w:type="dxa"/>
        <w:tblLayout w:type="fixed"/>
        <w:tblCellMar>
          <w:top w:w="28" w:type="dxa"/>
          <w:left w:w="28" w:type="dxa"/>
          <w:bottom w:w="28" w:type="dxa"/>
          <w:right w:w="28" w:type="dxa"/>
        </w:tblCellMar>
      </w:tblPr>
      <w:tblGrid>
        <w:gridCol w:w="1376"/>
        <w:gridCol w:w="1306"/>
      </w:tblGrid>
      <w:tr>
        <w:tc>
          <w:tcPr>
            <w:tcW w:w="137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c>
          <w:tcPr>
            <w:tcW w:w="1376" w:type="dxa"/>
            <w:tcBorders/>
            <w:tcMar>
              <w:top w:w="0" w:type="dxa"/>
              <w:left w:w="0" w:type="dxa"/>
              <w:bottom w:w="0" w:type="dxa"/>
              <w:right w:w="0" w:type="dxa"/>
            </w:tcMar>
            <w:vAlign w:val="center"/>
          </w:tcPr>
          <w:p>
            <w:pPr>
              <w:pStyle w:val="TableContents"/>
              <w:bidi w:val="0"/>
              <w:spacing w:before="0" w:after="283"/>
              <w:jc w:val="left"/>
            </w:pPr>
            <w:r>
              <w:drawing>
                <wp:inline distT="0" distB="0" distL="0" distR="0">
                  <wp:extent cx="809625"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 cy="247650"/>
                          </a:xfrm>
                          <a:prstGeom prst="rect">
                            <a:avLst/>
                          </a:prstGeom>
                        </pic:spPr>
                      </pic:pic>
                    </a:graphicData>
                  </a:graphic>
                </wp:inline>
              </w:drawing>
            </w:r>
          </w:p>
        </w:tc>
        <w:tc>
          <w:tcPr>
            <w:tcW w:w="1306" w:type="dxa"/>
            <w:tcBorders/>
            <w:tcMar>
              <w:top w:w="0" w:type="dxa"/>
              <w:left w:w="0" w:type="dxa"/>
              <w:bottom w:w="0" w:type="dxa"/>
              <w:right w:w="0" w:type="dxa"/>
            </w:tcMar>
            <w:vAlign w:val="center"/>
          </w:tcPr>
          <w:p>
            <w:pPr>
              <w:pStyle w:val="TableContents"/>
              <w:bidi w:val="0"/>
              <w:spacing w:before="0" w:after="283"/>
              <w:jc w:val="right"/>
              <w:rPr>
                <w:rFonts w:ascii="Segoe UI;sans-serif" w:hAnsi="Segoe UI;sans-serif"/>
                <w:color w:val="333D47"/>
                <w:sz w:val="20"/>
              </w:rPr>
            </w:pPr>
            <w:r>
              <w:rPr>
                <w:rFonts w:ascii="Segoe UI;sans-serif" w:hAnsi="Segoe UI;sans-serif"/>
                <w:color w:val="333D47"/>
                <w:sz w:val="20"/>
              </w:rPr>
              <w:t>Exhibit 99.2</w:t>
            </w:r>
          </w:p>
        </w:tc>
      </w:tr>
    </w:tbl>
    <w:p>
      <w:pPr>
        <w:pStyle w:val="TextBody"/>
        <w:bidi w:val="0"/>
        <w:jc w:val="left"/>
      </w:pPr>
      <w:r>
        <w:t> </w:t>
      </w:r>
    </w:p>
    <w:p>
      <w:pPr>
        <w:pStyle w:val="TextBody"/>
        <w:bidi w:val="0"/>
        <w:jc w:val="center"/>
        <w:rPr>
          <w:rFonts w:ascii="Segoe UI;sans-serif" w:hAnsi="Segoe UI;sans-serif"/>
          <w:b/>
          <w:color w:val="333D47"/>
          <w:sz w:val="32"/>
        </w:rPr>
      </w:pPr>
      <w:r>
        <w:rPr>
          <w:rFonts w:ascii="Segoe UI;sans-serif" w:hAnsi="Segoe UI;sans-serif"/>
          <w:b/>
          <w:color w:val="333D47"/>
          <w:sz w:val="32"/>
        </w:rPr>
        <w:t>MKS Inc. Announces $500 Million Share Repurchase Program and Declares Quarterly Cash Dividend</w:t>
      </w:r>
    </w:p>
    <w:p>
      <w:pPr>
        <w:pStyle w:val="TextBody"/>
        <w:bidi w:val="0"/>
        <w:jc w:val="left"/>
      </w:pPr>
      <w:r>
        <w:t> </w:t>
      </w:r>
    </w:p>
    <w:p>
      <w:pPr>
        <w:pStyle w:val="TextBody"/>
        <w:bidi w:val="0"/>
        <w:spacing w:before="0" w:after="120"/>
        <w:jc w:val="left"/>
        <w:rPr>
          <w:rFonts w:ascii="Segoe UI;sans-serif" w:hAnsi="Segoe UI;sans-serif"/>
          <w:color w:val="000000"/>
          <w:sz w:val="22"/>
        </w:rPr>
      </w:pPr>
      <w:r>
        <w:rPr>
          <w:rFonts w:ascii="Segoe UI;sans-serif" w:hAnsi="Segoe UI;sans-serif"/>
          <w:color w:val="000000"/>
          <w:sz w:val="22"/>
        </w:rPr>
        <w:t>Andover, Mass., November 4, 2026 -- MKS Inc. (NASDAQ: MKSI), a global provider of enabling technologies that transform our world, today announced that its Board of Directors has approved a share repurchase program of up to $500 million and authorized a quarterly cash dividend of $0.25 per share.</w:t>
      </w:r>
    </w:p>
    <w:p>
      <w:pPr>
        <w:pStyle w:val="TextBody"/>
        <w:bidi w:val="0"/>
        <w:spacing w:before="0" w:after="120"/>
        <w:jc w:val="left"/>
        <w:rPr>
          <w:rFonts w:ascii="Segoe UI;sans-serif" w:hAnsi="Segoe UI;sans-serif"/>
          <w:color w:val="000000"/>
          <w:sz w:val="22"/>
        </w:rPr>
      </w:pPr>
      <w:r>
        <w:rPr>
          <w:rFonts w:ascii="Segoe UI;sans-serif" w:hAnsi="Segoe UI;sans-serif"/>
          <w:color w:val="000000"/>
          <w:sz w:val="22"/>
        </w:rPr>
        <w:t>The new share repurchase program replaces the prior share repurchase program approved in July 2011, of which approximately $28 million remained available. The repurchase program allows the Company to repurchase up to an aggregate of $500 million of shares of its common stock from time to time on the open market, in privately negotiated transactions, or by other appropriate means. The repurchase program may be suspended or terminated by the Company’s Board of Directors at any time.</w:t>
      </w:r>
    </w:p>
    <w:p>
      <w:pPr>
        <w:pStyle w:val="TextBody"/>
        <w:bidi w:val="0"/>
        <w:spacing w:before="0" w:after="120"/>
        <w:jc w:val="left"/>
        <w:rPr>
          <w:color w:val="000000"/>
        </w:rPr>
      </w:pPr>
      <w:r>
        <w:rPr>
          <w:color w:val="000000"/>
        </w:rPr>
        <w:t>“</w:t>
      </w:r>
      <w:r>
        <w:rPr>
          <w:rFonts w:ascii="Segoe UI;sans-serif" w:hAnsi="Segoe UI;sans-serif"/>
          <w:color w:val="000000"/>
          <w:sz w:val="22"/>
        </w:rPr>
        <w:t>The repurchase program reinforces our confidence in our strategy, financial position, and long-term cash generation,” said John T.C. Lee, President and CEO. ”Share repurchases provide us with an opportunity to return capital to shareholders while we continue to invest in organic growth, strengthen the balance sheet and pursue disciplined capital allocation.”</w:t>
      </w:r>
    </w:p>
    <w:p>
      <w:pPr>
        <w:pStyle w:val="TextBody"/>
        <w:bidi w:val="0"/>
        <w:spacing w:before="0" w:after="120"/>
        <w:jc w:val="left"/>
        <w:rPr>
          <w:rFonts w:ascii="Segoe UI;sans-serif" w:hAnsi="Segoe UI;sans-serif"/>
          <w:color w:val="000000"/>
          <w:sz w:val="22"/>
        </w:rPr>
      </w:pPr>
      <w:r>
        <w:rPr>
          <w:rFonts w:ascii="Segoe UI;sans-serif" w:hAnsi="Segoe UI;sans-serif"/>
          <w:color w:val="000000"/>
          <w:sz w:val="22"/>
        </w:rPr>
        <w:t>The quarterly cash dividend is payable on December 7, 2026 to shareholders of record as of November 25, 2026. Future dividend declarations, as well as the record and payment dates for such dividends, are subject to the final determination of the Company's Board of Directors.</w:t>
      </w:r>
    </w:p>
    <w:p>
      <w:pPr>
        <w:pStyle w:val="TextBody"/>
        <w:bidi w:val="0"/>
        <w:jc w:val="left"/>
        <w:rPr>
          <w:rFonts w:ascii="Segoe UI;sans-serif" w:hAnsi="Segoe UI;sans-serif"/>
          <w:b/>
          <w:color w:val="333D47"/>
          <w:sz w:val="22"/>
        </w:rPr>
      </w:pPr>
      <w:r>
        <w:rPr>
          <w:rFonts w:ascii="Segoe UI;sans-serif" w:hAnsi="Segoe UI;sans-serif"/>
          <w:b/>
          <w:color w:val="333D47"/>
          <w:sz w:val="22"/>
        </w:rPr>
        <w:t>About MKS Inc.</w:t>
      </w:r>
    </w:p>
    <w:p>
      <w:pPr>
        <w:pStyle w:val="TextBody"/>
        <w:bidi w:val="0"/>
        <w:spacing w:before="0" w:after="120"/>
        <w:jc w:val="left"/>
        <w:rPr>
          <w:rFonts w:ascii="Segoe UI;sans-serif" w:hAnsi="Segoe UI;sans-serif"/>
          <w:color w:val="000000"/>
          <w:sz w:val="22"/>
        </w:rPr>
      </w:pPr>
      <w:r>
        <w:rPr>
          <w:rFonts w:ascii="Segoe UI;sans-serif" w:hAnsi="Segoe UI;sans-serif"/>
          <w:color w:val="000000"/>
          <w:sz w:val="22"/>
        </w:rPr>
        <w:t xml:space="preserve">MKS Inc. (NASDAQ: MKSI)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120"/>
        <w:jc w:val="left"/>
        <w:rPr>
          <w:rFonts w:ascii="Segoe UI;sans-serif" w:hAnsi="Segoe UI;sans-serif"/>
          <w:sz w:val="22"/>
        </w:rPr>
      </w:pPr>
      <w:r>
        <w:rPr>
          <w:rFonts w:ascii="Segoe UI;sans-serif" w:hAnsi="Segoe UI;sans-serif"/>
          <w:color w:val="000000"/>
          <w:sz w:val="22"/>
        </w:rPr>
        <w:t xml:space="preserve">connectivity. Our solutions are also critical to addressing ever-increasing performance requirements across a wide array of specialty industrial applications. Additional information can be found at </w:t>
      </w:r>
      <w:r>
        <w:rPr>
          <w:rFonts w:ascii="Segoe UI;sans-serif" w:hAnsi="Segoe UI;sans-serif"/>
          <w:color w:val="333D47"/>
          <w:sz w:val="22"/>
        </w:rPr>
        <w:t>www.mks.com</w:t>
      </w:r>
      <w:r>
        <w:rPr>
          <w:rFonts w:ascii="Segoe UI;sans-serif" w:hAnsi="Segoe UI;sans-serif"/>
          <w:color w:val="000000"/>
          <w:sz w:val="22"/>
        </w:rPr>
        <w:t>.</w:t>
      </w:r>
    </w:p>
    <w:p>
      <w:pPr>
        <w:pStyle w:val="TextBody"/>
        <w:bidi w:val="0"/>
        <w:jc w:val="left"/>
        <w:rPr>
          <w:rFonts w:ascii="Segoe UI;sans-serif" w:hAnsi="Segoe UI;sans-serif"/>
          <w:b/>
          <w:color w:val="333D47"/>
          <w:sz w:val="22"/>
        </w:rPr>
      </w:pPr>
      <w:r>
        <w:rPr>
          <w:rFonts w:ascii="Segoe UI;sans-serif" w:hAnsi="Segoe UI;sans-serif"/>
          <w:b/>
          <w:color w:val="333D47"/>
          <w:sz w:val="22"/>
        </w:rPr>
        <w:t>Safe Harbor for Forward-Looking Statements</w:t>
      </w:r>
    </w:p>
    <w:p>
      <w:pPr>
        <w:pStyle w:val="TextBody"/>
        <w:bidi w:val="0"/>
        <w:jc w:val="left"/>
        <w:rPr>
          <w:rFonts w:ascii="Segoe UI;sans-serif" w:hAnsi="Segoe UI;sans-serif"/>
          <w:color w:val="000000"/>
          <w:sz w:val="22"/>
        </w:rPr>
      </w:pPr>
      <w:r>
        <w:rPr>
          <w:rFonts w:ascii="Segoe UI;sans-serif" w:hAnsi="Segoe UI;sans-serif"/>
          <w:color w:val="000000"/>
          <w:sz w:val="22"/>
        </w:rPr>
        <w:t>This press release contains forward-looking statements within the meaning of the Private Securities Litigation Reform Act of 1995, Section 27A of the Securities Act of 1933 and Section 21E of the Securities Exchange Act of 1934 regarding MKS’ share repurchase program and dividend program as well as any future share repurchases and dividend payment obligations. Any statements that are not statements of historical fact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are cash available for repurchase and distribution, the then current and expected needs and availability of cash to pay MKS’ obligations, volatility of stock price, and the other factors described in MKS’ Annual Report on Form 10-K for the year ended December 31, 2025 and any subsequent Quarterly Reports on Form 10-Q, as filed with the U.S. Securities and Exchange Commission. MKS is under no obligation to, and expressly disclaims any obligation to, update or alter these forward-looking statements, whether as a result of new information, future events or otherwise after the date of this press release.</w:t>
      </w:r>
    </w:p>
    <w:p>
      <w:pPr>
        <w:pStyle w:val="TextBody"/>
        <w:bidi w:val="0"/>
        <w:jc w:val="center"/>
        <w:rPr>
          <w:rFonts w:ascii="Segoe UI;sans-serif" w:hAnsi="Segoe UI;sans-serif"/>
          <w:color w:val="333D47"/>
          <w:sz w:val="22"/>
        </w:rPr>
      </w:pPr>
      <w:r>
        <w:rPr>
          <w:rFonts w:ascii="Segoe UI;sans-serif" w:hAnsi="Segoe UI;sans-serif"/>
          <w:color w:val="333D47"/>
          <w:sz w:val="22"/>
        </w:rPr>
        <w:t>###</w:t>
      </w:r>
    </w:p>
    <w:p>
      <w:pPr>
        <w:pStyle w:val="TextBody"/>
        <w:bidi w:val="0"/>
        <w:jc w:val="center"/>
      </w:pPr>
      <w:r>
        <w:t> </w:t>
      </w:r>
    </w:p>
    <w:p>
      <w:pPr>
        <w:pStyle w:val="TextBody"/>
        <w:bidi w:val="0"/>
        <w:jc w:val="left"/>
      </w:pPr>
      <w:r>
        <w:t> </w:t>
      </w:r>
    </w:p>
    <w:p>
      <w:pPr>
        <w:pStyle w:val="TextBody"/>
        <w:bidi w:val="0"/>
        <w:jc w:val="left"/>
        <w:rPr>
          <w:rFonts w:ascii="Segoe UI;sans-serif" w:hAnsi="Segoe UI;sans-serif"/>
          <w:sz w:val="22"/>
        </w:rPr>
      </w:pPr>
      <w:r>
        <w:rPr>
          <w:rFonts w:ascii="Segoe UI;sans-serif" w:hAnsi="Segoe UI;sans-serif"/>
          <w:b/>
          <w:color w:val="333D47"/>
          <w:sz w:val="22"/>
          <w:u w:val="single"/>
        </w:rPr>
        <w:t>MKS Investor Relations Contact</w:t>
      </w:r>
      <w:r>
        <w:rPr>
          <w:rFonts w:ascii="Segoe UI;sans-serif" w:hAnsi="Segoe UI;sans-serif"/>
          <w:b/>
          <w:color w:val="333D47"/>
          <w:sz w:val="22"/>
        </w:rPr>
        <w:t>:</w:t>
      </w:r>
    </w:p>
    <w:p>
      <w:pPr>
        <w:pStyle w:val="TextBody"/>
        <w:bidi w:val="0"/>
        <w:jc w:val="left"/>
        <w:rPr>
          <w:rFonts w:ascii="Segoe UI;sans-serif" w:hAnsi="Segoe UI;sans-serif"/>
          <w:color w:val="333D47"/>
          <w:sz w:val="22"/>
        </w:rPr>
      </w:pPr>
      <w:r>
        <w:rPr>
          <w:rFonts w:ascii="Segoe UI;sans-serif" w:hAnsi="Segoe UI;sans-serif"/>
          <w:color w:val="333D47"/>
          <w:sz w:val="22"/>
        </w:rPr>
        <w:t>Paretosh Misra</w:t>
      </w:r>
    </w:p>
    <w:p>
      <w:pPr>
        <w:pStyle w:val="TextBody"/>
        <w:bidi w:val="0"/>
        <w:jc w:val="left"/>
        <w:rPr>
          <w:rFonts w:ascii="Segoe UI;sans-serif" w:hAnsi="Segoe UI;sans-serif"/>
          <w:color w:val="333D47"/>
          <w:sz w:val="22"/>
        </w:rPr>
      </w:pPr>
      <w:r>
        <w:rPr>
          <w:rFonts w:ascii="Segoe UI;sans-serif" w:hAnsi="Segoe UI;sans-serif"/>
          <w:color w:val="333D47"/>
          <w:sz w:val="22"/>
        </w:rPr>
        <w:t xml:space="preserve">Vice President, Investor Relations </w:t>
      </w:r>
    </w:p>
    <w:p>
      <w:pPr>
        <w:pStyle w:val="TextBody"/>
        <w:bidi w:val="0"/>
        <w:jc w:val="left"/>
        <w:rPr>
          <w:rFonts w:ascii="Segoe UI;sans-serif" w:hAnsi="Segoe UI;sans-serif"/>
          <w:color w:val="333D47"/>
          <w:sz w:val="22"/>
        </w:rPr>
      </w:pPr>
      <w:r>
        <w:rPr>
          <w:rFonts w:ascii="Segoe UI;sans-serif" w:hAnsi="Segoe UI;sans-serif"/>
          <w:color w:val="333D47"/>
          <w:sz w:val="22"/>
        </w:rPr>
        <w:t>Telephone: +1 (978) 284-4705</w:t>
      </w:r>
    </w:p>
    <w:p>
      <w:pPr>
        <w:pStyle w:val="TextBody"/>
        <w:bidi w:val="0"/>
        <w:jc w:val="left"/>
        <w:rPr>
          <w:rFonts w:ascii="Segoe UI;sans-serif" w:hAnsi="Segoe UI;sans-serif"/>
          <w:sz w:val="22"/>
        </w:rPr>
      </w:pPr>
      <w:r>
        <w:rPr>
          <w:rFonts w:ascii="Segoe UI;sans-serif" w:hAnsi="Segoe UI;sans-serif"/>
          <w:color w:val="333D47"/>
          <w:sz w:val="22"/>
        </w:rPr>
        <w:t>Em</w:t>
      </w:r>
      <w:r>
        <w:rPr>
          <w:rFonts w:ascii="Segoe UI;sans-serif" w:hAnsi="Segoe UI;sans-serif"/>
          <w:color w:val="000000"/>
          <w:sz w:val="22"/>
        </w:rPr>
        <w:t xml:space="preserve">ail: </w:t>
      </w:r>
      <w:r>
        <w:rPr>
          <w:rFonts w:ascii="Segoe UI;sans-serif" w:hAnsi="Segoe UI;sans-serif"/>
          <w:color w:val="333D47"/>
          <w:sz w:val="22"/>
        </w:rPr>
        <w:t>paretosh.misra@mks.com</w:t>
      </w:r>
    </w:p>
    <w:p>
      <w:pPr>
        <w:pStyle w:val="TextBody"/>
        <w:bidi w:val="0"/>
        <w:jc w:val="left"/>
      </w:pPr>
      <w:r>
        <w:t> </w:t>
      </w:r>
    </w:p>
    <w:p>
      <w:pPr>
        <w:pStyle w:val="TextBody"/>
        <w:bidi w:val="0"/>
        <w:spacing w:before="0" w:after="200"/>
        <w:jc w:val="left"/>
      </w:pPr>
      <w:r>
        <w:t> </w:t>
      </w:r>
    </w:p>
    <w:p>
      <w:pPr>
        <w:pStyle w:val="TextBody"/>
        <w:bidi w:val="0"/>
        <w:spacing w:before="0" w:after="20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20392</Words>
  <Characters>103782</Characters>
  <CharactersWithSpaces>125059</CharactersWithSpaces>
  <Paragraphs>4310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