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1099820</wp:posOffset>
            </wp:positionH>
            <wp:positionV relativeFrom="page">
              <wp:posOffset>1289050</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313055</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336550</wp:posOffset>
            </wp:positionV>
            <wp:extent cx="5349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321945</wp:posOffset>
            </wp:positionV>
            <wp:extent cx="5349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MKS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321945</wp:posOffset>
            </wp:positionV>
            <wp:extent cx="5349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b w:val="1"/>
          <w:bCs w:val="1"/>
          <w:color w:val="auto"/>
        </w:rPr>
        <w:t>000-23621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04-2277512</w:t>
      </w:r>
    </w:p>
    <w:p>
      <w:pPr>
        <w:spacing w:after="0" w:line="23" w:lineRule="exact"/>
        <w:rPr>
          <w:sz w:val="24"/>
          <w:szCs w:val="24"/>
          <w:color w:val="auto"/>
        </w:rPr>
      </w:pPr>
    </w:p>
    <w:p>
      <w:pPr>
        <w:sectPr>
          <w:pgSz w:w="11900" w:h="16838" w:orient="portrait"/>
          <w:cols w:equalWidth="0" w:num="3">
            <w:col w:w="3400" w:space="720"/>
            <w:col w:w="2100" w:space="720"/>
            <w:col w:w="2079"/>
          </w:cols>
          <w:pgMar w:left="1440" w:top="1440" w:right="1440"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7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3380" w:space="720"/>
            <w:col w:w="1980" w:space="720"/>
            <w:col w:w="2219"/>
          </w:cols>
          <w:pgMar w:left="1440" w:top="1440" w:right="1440" w:bottom="1440" w:gutter="0" w:footer="0" w:header="0"/>
          <w:type w:val="continuous"/>
        </w:sectPr>
      </w:pPr>
    </w:p>
    <w:p>
      <w:pPr>
        <w:spacing w:after="0" w:line="244"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2 Tech Drive, Andover, Massachusetts</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01810</w:t>
      </w:r>
    </w:p>
    <w:p>
      <w:pPr>
        <w:spacing w:after="0" w:line="31" w:lineRule="exact"/>
        <w:rPr>
          <w:sz w:val="24"/>
          <w:szCs w:val="24"/>
          <w:color w:val="auto"/>
        </w:rPr>
      </w:pPr>
    </w:p>
    <w:p>
      <w:pPr>
        <w:sectPr>
          <w:pgSz w:w="11900" w:h="16838" w:orient="portrait"/>
          <w:cols w:equalWidth="0" w:num="2">
            <w:col w:w="5660" w:space="720"/>
            <w:col w:w="2639"/>
          </w:cols>
          <w:pgMar w:left="1440" w:top="1440"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5580" w:space="720"/>
            <w:col w:w="2719"/>
          </w:cols>
          <w:pgMar w:left="1440" w:top="1440" w:right="1440"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Kathleen F. Burke (978) 645-5574</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313690</wp:posOffset>
            </wp:positionV>
            <wp:extent cx="5349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540" w:right="579" w:hanging="248"/>
        <w:spacing w:after="0" w:line="282" w:lineRule="auto"/>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1292860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405765</wp:posOffset>
            </wp:positionV>
            <wp:extent cx="5349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1.01 – Conflict Minerals Disclosure and Report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jc w:val="both"/>
        <w:ind w:left="300" w:right="899"/>
        <w:spacing w:after="0" w:line="266" w:lineRule="auto"/>
        <w:rPr>
          <w:sz w:val="20"/>
          <w:szCs w:val="20"/>
          <w:color w:val="auto"/>
        </w:rPr>
      </w:pPr>
      <w:r>
        <w:rPr>
          <w:rFonts w:ascii="Times New Roman" w:cs="Times New Roman" w:eastAsia="Times New Roman" w:hAnsi="Times New Roman"/>
          <w:sz w:val="18"/>
          <w:szCs w:val="18"/>
          <w:color w:val="auto"/>
        </w:rPr>
        <w:t>MKS Inc. (“MKS” or the “Company”) has determined that gold, columbite-tantalite (coltan), cassiterite and wolframite, including their derivatives, tantalum, tin and tungsten (“Conflict Minerals”), are necessary to the functionality or production of products manufactured or contracted to be manufactured by MKS.</w:t>
      </w:r>
    </w:p>
    <w:p>
      <w:pPr>
        <w:spacing w:after="0" w:line="176"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MKS conducted in good faith a country of origin inquiry regarding Conflict Minerals in its products which was reasonably designed to determine if any of the Conflict Minerals originated in the Democratic Republic of the Congo or an adjoining country (“Covered Countries”), or from recycled or scrap sources.</w:t>
      </w:r>
    </w:p>
    <w:p>
      <w:pPr>
        <w:spacing w:after="0" w:line="176"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 xml:space="preserve">MKS has determined that it is required to file, and has filed, a Conflict Minerals Report describing its reasonable country of origin inquiry and due diligence efforts on the source and chain of custody of the Conflict Minerals in its products. The Conflict Minerals Report is provided as Exhibit 1.01 to this Form SD and is publicly available on MKS’ website at </w:t>
      </w:r>
      <w:r>
        <w:rPr>
          <w:rFonts w:ascii="Times New Roman" w:cs="Times New Roman" w:eastAsia="Times New Roman" w:hAnsi="Times New Roman"/>
          <w:sz w:val="18"/>
          <w:szCs w:val="18"/>
          <w:u w:val="single" w:color="auto"/>
          <w:color w:val="auto"/>
        </w:rPr>
        <w:t>https://www.mks.com/ConflictMineralsReport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1.02 – Exhibit</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MKS’ Conflict Minerals Report for the calendar year ended December 31, 2025 is filed as Exhibit 1.01 to this Form SD.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2.01 – Resource Extraction Issuer Disclosure and Report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3.01 – Exhibits</w:t>
      </w:r>
    </w:p>
    <w:p>
      <w:pPr>
        <w:spacing w:after="0" w:line="3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1033145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320" w:right="1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MKS INC.</w:t>
            </w:r>
          </w:p>
        </w:tc>
        <w:tc>
          <w:tcPr>
            <w:tcW w:w="3200" w:type="dxa"/>
            <w:vAlign w:val="bottom"/>
          </w:tcPr>
          <w:p>
            <w:pPr>
              <w:spacing w:after="0"/>
              <w:rPr>
                <w:sz w:val="20"/>
                <w:szCs w:val="20"/>
                <w:color w:val="auto"/>
              </w:rPr>
            </w:pPr>
          </w:p>
        </w:tc>
      </w:tr>
      <w:tr>
        <w:trPr>
          <w:trHeight w:val="432"/>
        </w:trPr>
        <w:tc>
          <w:tcPr>
            <w:tcW w:w="1320" w:type="dxa"/>
            <w:vAlign w:val="bottom"/>
          </w:tcPr>
          <w:p>
            <w:pPr>
              <w:spacing w:after="0"/>
              <w:rPr>
                <w:sz w:val="24"/>
                <w:szCs w:val="24"/>
                <w:color w:val="auto"/>
              </w:rPr>
            </w:pPr>
          </w:p>
        </w:tc>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F. Burke</w:t>
            </w:r>
          </w:p>
        </w:tc>
        <w:tc>
          <w:tcPr>
            <w:tcW w:w="3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May 28, 2026</w:t>
            </w:r>
          </w:p>
        </w:tc>
      </w:tr>
      <w:tr>
        <w:trPr>
          <w:trHeight w:val="191"/>
        </w:trPr>
        <w:tc>
          <w:tcPr>
            <w:tcW w:w="1320" w:type="dxa"/>
            <w:vAlign w:val="bottom"/>
          </w:tcPr>
          <w:p>
            <w:pPr>
              <w:spacing w:after="0"/>
              <w:rPr>
                <w:sz w:val="16"/>
                <w:szCs w:val="16"/>
                <w:color w:val="auto"/>
              </w:rPr>
            </w:pPr>
          </w:p>
        </w:tc>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Kathleen F. Burke</w:t>
            </w:r>
          </w:p>
        </w:tc>
        <w:tc>
          <w:tcPr>
            <w:tcW w:w="3200" w:type="dxa"/>
            <w:vAlign w:val="bottom"/>
          </w:tcPr>
          <w:p>
            <w:pPr>
              <w:spacing w:after="0"/>
              <w:rPr>
                <w:sz w:val="16"/>
                <w:szCs w:val="16"/>
                <w:color w:val="auto"/>
              </w:rPr>
            </w:pPr>
          </w:p>
        </w:tc>
      </w:tr>
      <w:tr>
        <w:trPr>
          <w:trHeight w:val="234"/>
        </w:trPr>
        <w:tc>
          <w:tcPr>
            <w:tcW w:w="13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c>
          <w:tcPr>
            <w:tcW w:w="3200" w:type="dxa"/>
            <w:vAlign w:val="bottom"/>
          </w:tcPr>
          <w:p>
            <w:pPr>
              <w:spacing w:after="0"/>
              <w:rPr>
                <w:sz w:val="20"/>
                <w:szCs w:val="20"/>
                <w:color w:val="auto"/>
              </w:rPr>
            </w:pPr>
          </w:p>
        </w:tc>
      </w:tr>
      <w:tr>
        <w:trPr>
          <w:trHeight w:val="1627"/>
        </w:trPr>
        <w:tc>
          <w:tcPr>
            <w:tcW w:w="132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3" w:name="page4"/>
    <w:bookmarkEnd w:id="3"/>
    <w:p>
      <w:pPr>
        <w:ind w:left="7780"/>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MKS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300" w:right="419" w:firstLine="441"/>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Section 27A of the Securities Act of 1933, as amended, and Section 21E of the Securities Exchange Act of 1934, as amended (the “Exchange Act”). These forward-looking statements reflect management’s current opinions and are subject to certain risks and uncertainties that could cause actual results to differ materially from those stated. MKS assumes no obligation to update this information. Risks and uncertainties include, but are not limited to, those discussed in the section entitled “Risk Factors” found in the Company’s most recent Annual Report on Form 10-K and any subsequent Quarterly Reports on Form 10-Q, as filed with the Securities and Exchange Commission (the “SEC”).</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Conflict Minerals Rule</w:t>
      </w:r>
    </w:p>
    <w:p>
      <w:pPr>
        <w:spacing w:after="0" w:line="121" w:lineRule="exact"/>
        <w:rPr>
          <w:sz w:val="20"/>
          <w:szCs w:val="20"/>
          <w:color w:val="auto"/>
        </w:rPr>
      </w:pPr>
    </w:p>
    <w:p>
      <w:pPr>
        <w:ind w:left="300" w:right="399" w:firstLine="441"/>
        <w:spacing w:after="0" w:line="254" w:lineRule="auto"/>
        <w:rPr>
          <w:sz w:val="20"/>
          <w:szCs w:val="20"/>
          <w:color w:val="auto"/>
        </w:rPr>
      </w:pPr>
      <w:r>
        <w:rPr>
          <w:rFonts w:ascii="Times New Roman" w:cs="Times New Roman" w:eastAsia="Times New Roman" w:hAnsi="Times New Roman"/>
          <w:sz w:val="18"/>
          <w:szCs w:val="18"/>
          <w:color w:val="auto"/>
        </w:rPr>
        <w:t>This report for the year ended December 31, 2025 is included to comply with Rule 13p-1 under the Exchange Act (the “Conflict Minerals Rule”), which was adopted by the SEC to implement reporting and disclosure requirements related to Conflict Minerals as directed by the Dodd-Frank Wall Street Reform and Consumer Protection Act of 2010. The Conflict Minerals Rule imposes certain reporting obligations on a company that files reports with the SEC under Sections 13(a) and 15(d) of the Exchange Act (a “public company”), whose manufactured products contain Conflict Minerals which are necessary to the functionality or production of its products. Conflict minerals are defined as gold, columbite-tantalite (“coltan”), cassiterite and wolframite, including their derivatives, tantalum, tin and tungsten (“Conflict Minerals”).</w:t>
      </w:r>
    </w:p>
    <w:p>
      <w:pPr>
        <w:spacing w:after="0" w:line="192" w:lineRule="exact"/>
        <w:rPr>
          <w:sz w:val="20"/>
          <w:szCs w:val="20"/>
          <w:color w:val="auto"/>
        </w:rPr>
      </w:pPr>
    </w:p>
    <w:p>
      <w:pPr>
        <w:ind w:left="300" w:right="519" w:firstLine="441"/>
        <w:spacing w:after="0" w:line="266" w:lineRule="auto"/>
        <w:rPr>
          <w:sz w:val="20"/>
          <w:szCs w:val="20"/>
          <w:color w:val="auto"/>
        </w:rPr>
      </w:pPr>
      <w:r>
        <w:rPr>
          <w:rFonts w:ascii="Times New Roman" w:cs="Times New Roman" w:eastAsia="Times New Roman" w:hAnsi="Times New Roman"/>
          <w:sz w:val="18"/>
          <w:szCs w:val="18"/>
          <w:color w:val="auto"/>
        </w:rPr>
        <w:t>If a public company cannot establish that the Conflict Minerals originated from sources other than the Democratic Republic of the Congo or an adjoining country (the “Covered Countries”), or from recycled and scrap sources, it must submit a Form SD which describes the reasonable country of origin inquiry completed.</w:t>
      </w:r>
    </w:p>
    <w:p>
      <w:pPr>
        <w:spacing w:after="0" w:line="176" w:lineRule="exact"/>
        <w:rPr>
          <w:sz w:val="20"/>
          <w:szCs w:val="20"/>
          <w:color w:val="auto"/>
        </w:rPr>
      </w:pPr>
    </w:p>
    <w:p>
      <w:pPr>
        <w:ind w:left="300" w:right="359" w:firstLine="441"/>
        <w:spacing w:after="0" w:line="258" w:lineRule="auto"/>
        <w:rPr>
          <w:sz w:val="20"/>
          <w:szCs w:val="20"/>
          <w:color w:val="auto"/>
        </w:rPr>
      </w:pPr>
      <w:r>
        <w:rPr>
          <w:rFonts w:ascii="Times New Roman" w:cs="Times New Roman" w:eastAsia="Times New Roman" w:hAnsi="Times New Roman"/>
          <w:sz w:val="18"/>
          <w:szCs w:val="18"/>
          <w:color w:val="auto"/>
        </w:rPr>
        <w:t>If a public company has reason to believe that any of the Conflict Minerals in its supply chain may have originated in the Covered Countries, or if it is unable to determine the country of origin of those Conflict Minerals, then that company must exercise due diligence on the Conflict Minerals’ source and chain of custody. The company must annually submit a report to the SEC that includes a description of those due diligence measures (“Conflict Minerals Report”).</w:t>
      </w:r>
    </w:p>
    <w:p>
      <w:pPr>
        <w:spacing w:after="0" w:line="179" w:lineRule="exact"/>
        <w:rPr>
          <w:sz w:val="20"/>
          <w:szCs w:val="20"/>
          <w:color w:val="auto"/>
        </w:rPr>
      </w:pPr>
    </w:p>
    <w:p>
      <w:pPr>
        <w:ind w:left="620" w:hanging="328"/>
        <w:spacing w:after="0"/>
        <w:tabs>
          <w:tab w:leader="none" w:pos="6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599" w:firstLine="441"/>
        <w:spacing w:after="0" w:line="312" w:lineRule="auto"/>
        <w:rPr>
          <w:sz w:val="20"/>
          <w:szCs w:val="20"/>
          <w:color w:val="auto"/>
        </w:rPr>
      </w:pPr>
      <w:r>
        <w:rPr>
          <w:rFonts w:ascii="Times New Roman" w:cs="Times New Roman" w:eastAsia="Times New Roman" w:hAnsi="Times New Roman"/>
          <w:sz w:val="17"/>
          <w:szCs w:val="17"/>
          <w:color w:val="auto"/>
        </w:rPr>
        <w:t>This report has been prepared by management of MKS Inc. (herein referred to as “MKS,” the “Company,” “we,” “us,” or “our”). The information in this report includes the activities of MKS and its subsidiaries.</w:t>
      </w:r>
    </w:p>
    <w:p>
      <w:pPr>
        <w:spacing w:after="0" w:line="140" w:lineRule="exact"/>
        <w:rPr>
          <w:sz w:val="20"/>
          <w:szCs w:val="20"/>
          <w:color w:val="auto"/>
        </w:rPr>
      </w:pPr>
    </w:p>
    <w:p>
      <w:pPr>
        <w:ind w:left="300" w:right="339" w:firstLine="441"/>
        <w:spacing w:after="0" w:line="271" w:lineRule="auto"/>
        <w:rPr>
          <w:sz w:val="20"/>
          <w:szCs w:val="20"/>
          <w:color w:val="auto"/>
        </w:rPr>
      </w:pPr>
      <w:r>
        <w:rPr>
          <w:rFonts w:ascii="Times New Roman" w:cs="Times New Roman" w:eastAsia="Times New Roman" w:hAnsi="Times New Roman"/>
          <w:sz w:val="17"/>
          <w:szCs w:val="17"/>
          <w:color w:val="auto"/>
        </w:rPr>
        <w:t>Founded in 1961, MKS enables technologies that transform our world. MKS delivers foundational technology solutions to leading edge semiconductor manufacturing, electronics and packaging, and specialty industrial applications. MKS applies its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MKS’ solutions are critical to addressing the challenges of miniaturization and complexity in advanced device manufacturing by enabling increased power, speed, feature enhancement, and optimized connectivity. MKS’ solutions are also critical to addressing ever-increasing performance requirements across a wide array of specialty industrial applications. As of December 31, 2025, MKS employed approximately 10,000 individuals.</w:t>
      </w:r>
    </w:p>
    <w:p>
      <w:pPr>
        <w:spacing w:after="0" w:line="173" w:lineRule="exact"/>
        <w:rPr>
          <w:sz w:val="20"/>
          <w:szCs w:val="20"/>
          <w:color w:val="auto"/>
        </w:rPr>
      </w:pPr>
    </w:p>
    <w:p>
      <w:pPr>
        <w:ind w:left="300" w:right="619" w:firstLine="441"/>
        <w:spacing w:after="0" w:line="289" w:lineRule="auto"/>
        <w:rPr>
          <w:sz w:val="20"/>
          <w:szCs w:val="20"/>
          <w:color w:val="auto"/>
        </w:rPr>
      </w:pPr>
      <w:r>
        <w:rPr>
          <w:rFonts w:ascii="Times New Roman" w:cs="Times New Roman" w:eastAsia="Times New Roman" w:hAnsi="Times New Roman"/>
          <w:sz w:val="17"/>
          <w:szCs w:val="17"/>
          <w:color w:val="auto"/>
        </w:rPr>
        <w:t>MKS has three reportable segments: the Vacuum Solutions Division (“VSD”) segment, the Photonics Solutions Division (“PSD”) segment and the Materials Solutions Division (“MSD”) segment. The VSD segment delivers foundational technology solutions for semiconductor manufacturing, electronics and packaging and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638810</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4" w:name="page5"/>
    <w:bookmarkEnd w:id="4"/>
    <w:p>
      <w:pPr>
        <w:spacing w:after="0" w:line="194" w:lineRule="exact"/>
        <w:rPr>
          <w:sz w:val="20"/>
          <w:szCs w:val="20"/>
          <w:color w:val="auto"/>
        </w:rPr>
      </w:pPr>
    </w:p>
    <w:p>
      <w:pPr>
        <w:ind w:left="300" w:right="379"/>
        <w:spacing w:after="0" w:line="270" w:lineRule="auto"/>
        <w:rPr>
          <w:sz w:val="20"/>
          <w:szCs w:val="20"/>
          <w:color w:val="auto"/>
        </w:rPr>
      </w:pPr>
      <w:r>
        <w:rPr>
          <w:rFonts w:ascii="Times New Roman" w:cs="Times New Roman" w:eastAsia="Times New Roman" w:hAnsi="Times New Roman"/>
          <w:sz w:val="17"/>
          <w:szCs w:val="17"/>
          <w:color w:val="auto"/>
        </w:rPr>
        <w:t>specialty industrial applications. VSD products are derived from MKS’ core competencies in vacuum technologies, including pressure measurement and control, flow measurement and control, gas and vapor delivery, gas composition analysis, electronic control technology, reactive gas generation and delivery, power generation and delivery, and fiber optic temperature and position sensing. The PSD segment provides a broad range of instruments, components and subsystems to leading edge semiconductor manufacturing, electronics and packaging and specialty industrial applications. PSD products are derived from MKS’ core competencies in lasers, photonics, optics, precision motion control and vibration control. The MSD segment develops leading process and manufacturing technologies for advanced surface modification, electroless and electrolytic plating, and surface finishing. Applying a comprehensive systems-and-solutions approach, MSD’s portfolio includes chemistry, equipment and services for innovative and high-technology applications in our electronics and packaging and specialty industrial markets.</w:t>
      </w:r>
    </w:p>
    <w:p>
      <w:pPr>
        <w:spacing w:after="0" w:line="177" w:lineRule="exact"/>
        <w:rPr>
          <w:sz w:val="20"/>
          <w:szCs w:val="20"/>
          <w:color w:val="auto"/>
        </w:rPr>
      </w:pPr>
    </w:p>
    <w:p>
      <w:pPr>
        <w:ind w:left="300" w:right="759" w:firstLine="441"/>
        <w:spacing w:after="0" w:line="266" w:lineRule="auto"/>
        <w:rPr>
          <w:sz w:val="20"/>
          <w:szCs w:val="20"/>
          <w:color w:val="auto"/>
        </w:rPr>
      </w:pPr>
      <w:r>
        <w:rPr>
          <w:rFonts w:ascii="Times New Roman" w:cs="Times New Roman" w:eastAsia="Times New Roman" w:hAnsi="Times New Roman"/>
          <w:sz w:val="18"/>
          <w:szCs w:val="18"/>
          <w:color w:val="auto"/>
        </w:rPr>
        <w:t>MKS has tens of thousands of products in its portfolio. MKS’ products are used in diverse markets, applications and processes. MKS serves the semiconductor, electronics and packaging, and specialty industrial markets.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Semiconductor Market</w:t>
      </w:r>
    </w:p>
    <w:p>
      <w:pPr>
        <w:spacing w:after="0" w:line="121" w:lineRule="exact"/>
        <w:rPr>
          <w:sz w:val="20"/>
          <w:szCs w:val="20"/>
          <w:color w:val="auto"/>
        </w:rPr>
      </w:pPr>
    </w:p>
    <w:p>
      <w:pPr>
        <w:ind w:left="300" w:right="379" w:firstLine="441"/>
        <w:spacing w:after="0" w:line="272" w:lineRule="auto"/>
        <w:rPr>
          <w:sz w:val="20"/>
          <w:szCs w:val="20"/>
          <w:color w:val="auto"/>
        </w:rPr>
      </w:pPr>
      <w:r>
        <w:rPr>
          <w:rFonts w:ascii="Times New Roman" w:cs="Times New Roman" w:eastAsia="Times New Roman" w:hAnsi="Times New Roman"/>
          <w:sz w:val="17"/>
          <w:szCs w:val="17"/>
          <w:color w:val="auto"/>
        </w:rPr>
        <w:t>MKS is a critical solutions provider for semiconductor manufacturing. Our products are used in major semiconductor processing steps, such as deposition, etching, cleaning, lithography, metrology, and inspection. The semiconductor industry continually faces new challenges, as products become smaller, more powerful and highly mobile. Ultra-thin layers, smaller critical dimensions, new materials, 3D structures, and the ongoing need for higher yield and productivity drive the need for tighter process measurement and control, all of which MKS supports. We believe we are the broadest critical subsystem provider in the wafer fabrication equipment ecosystem and address over 85% of the market. We characterize our broad and unique offering as Surround the Wafer</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to reflect the technology enablement we provide across almost every major process in semiconductor manufacturing today.</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Electronics and Packaging Market</w:t>
      </w:r>
    </w:p>
    <w:p>
      <w:pPr>
        <w:spacing w:after="0" w:line="121" w:lineRule="exact"/>
        <w:rPr>
          <w:sz w:val="20"/>
          <w:szCs w:val="20"/>
          <w:color w:val="auto"/>
        </w:rPr>
      </w:pPr>
    </w:p>
    <w:p>
      <w:pPr>
        <w:ind w:left="300" w:right="379" w:firstLine="441"/>
        <w:spacing w:after="0" w:line="254" w:lineRule="auto"/>
        <w:rPr>
          <w:sz w:val="20"/>
          <w:szCs w:val="20"/>
          <w:color w:val="auto"/>
        </w:rPr>
      </w:pPr>
      <w:r>
        <w:rPr>
          <w:rFonts w:ascii="Times New Roman" w:cs="Times New Roman" w:eastAsia="Times New Roman" w:hAnsi="Times New Roman"/>
          <w:sz w:val="18"/>
          <w:szCs w:val="18"/>
          <w:color w:val="auto"/>
        </w:rPr>
        <w:t>MKS is a foundational solutions provider for the electronics and packaging market. Our portfolio includes photonics components, laser drilling systems, electronics chemistries and plating equipment that are critical for the manufacturing of printed circuit boards (“PCBs”) and package substrates, and critical to wafer level packaging (“WLP”) applications. Similar to the semiconductor industry, the PCB, package substrate and WLP industries increasingly demand smaller features, greater density, and better performance. We believe we are well positioned to support innovation in advanced technologies that underpin the growing adoption of artificial intelligence. We characterize our complementary offering of laser systems and chemistry solutions as Optimize the Interconnect</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to reflect the unique technology enablement we provide at the Interconnect level within PCBs, package substrates and WLPs.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Specialty Industrial Market</w:t>
      </w:r>
    </w:p>
    <w:p>
      <w:pPr>
        <w:spacing w:after="0" w:line="121" w:lineRule="exact"/>
        <w:rPr>
          <w:sz w:val="20"/>
          <w:szCs w:val="20"/>
          <w:color w:val="auto"/>
        </w:rPr>
      </w:pPr>
    </w:p>
    <w:p>
      <w:pPr>
        <w:ind w:left="300" w:right="299" w:firstLine="441"/>
        <w:spacing w:after="0" w:line="253" w:lineRule="auto"/>
        <w:rPr>
          <w:sz w:val="20"/>
          <w:szCs w:val="20"/>
          <w:color w:val="auto"/>
        </w:rPr>
      </w:pPr>
      <w:r>
        <w:rPr>
          <w:rFonts w:ascii="Times New Roman" w:cs="Times New Roman" w:eastAsia="Times New Roman" w:hAnsi="Times New Roman"/>
          <w:sz w:val="18"/>
          <w:szCs w:val="18"/>
          <w:color w:val="auto"/>
        </w:rPr>
        <w:t>MKS’ strategy in the specialty industrial market is to leverage our domain expertise and proprietary technologies across a broad array of applications in industrial, life and health sciences, and research and defense markets. Industrial encompasses a wide range of diverse applications, including chemistries for functional coatings, surface finishing and wear resistance in the automobile industry, vacuum solutions for synthetic diamond manufacturing and photonics for solar manufacturing. Other applications include vacuum and photonics solutions for light emitting diode and laser diode manufacturing. Our products for life and health sciences are used in a diverse array of applications, including bioimaging, medical instrument sterilization, medical device manufacturing, analytical, diagnostic and surgical instrumentation, consumable medical supply manufacturing and pharmaceutical production. Our products for research and defense are sold to government, university and industrial laboratories for applications involving research and development in materials science, physical chemistry, photonics, optics and electronics materials. Our products are also sold for monitoring and defense applications including surveillance, imaging and infrastructure protection.</w:t>
      </w:r>
    </w:p>
    <w:p>
      <w:pPr>
        <w:spacing w:after="0" w:line="190" w:lineRule="exact"/>
        <w:rPr>
          <w:sz w:val="20"/>
          <w:szCs w:val="20"/>
          <w:color w:val="auto"/>
        </w:rPr>
      </w:pPr>
    </w:p>
    <w:p>
      <w:pPr>
        <w:ind w:left="300" w:right="319" w:firstLine="441"/>
        <w:spacing w:after="0" w:line="265" w:lineRule="auto"/>
        <w:rPr>
          <w:sz w:val="20"/>
          <w:szCs w:val="20"/>
          <w:color w:val="auto"/>
        </w:rPr>
      </w:pPr>
      <w:r>
        <w:rPr>
          <w:rFonts w:ascii="Times New Roman" w:cs="Times New Roman" w:eastAsia="Times New Roman" w:hAnsi="Times New Roman"/>
          <w:sz w:val="18"/>
          <w:szCs w:val="18"/>
          <w:color w:val="auto"/>
        </w:rPr>
        <w:t>Except for certain specific product lines (e.g. fittings, flanges, lenses, certain mirrors, tubing, certain chemistry products, etc.), many of the products MKS manufactures or contracts to manufacture include tin, gold, tantalum and/or tungsten. Additionally, MSD sells chemical solutions that themselves directly contain gold and tin (e.g. Aurotech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and Stannatech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As a result, Conflict Minerals are found in many MKS products.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638810</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color w:val="auto"/>
        </w:rPr>
        <w:t>With such an extensive product portfolio, our supply chain is highly complex. In 2025, MKS and its subsidiaries purchased supplies from approximately 4,000 suppliers across the world. In addition to dealing with a very large number of suppliers, MKS deals with multiple tiers of suppliers. We are generally many steps removed from the mining of Conflict Minerals and the smelting and refining of raw ores. We do not buy raw ore or unrefined Conflict Minerals or make purchases from the Covered Countries. Except with respect to one supplier of gold that is also a smelter, we do not buy directly from smelters or refiners. The smelters and refiners are in the best position in our supply chain to know the origin of the ores. For these reasons, the process of mapping our end-to-end supply chain is extremely onerous.</w:t>
      </w:r>
    </w:p>
    <w:p>
      <w:pPr>
        <w:spacing w:after="0" w:line="219" w:lineRule="exact"/>
        <w:rPr>
          <w:sz w:val="20"/>
          <w:szCs w:val="20"/>
          <w:color w:val="auto"/>
        </w:rPr>
      </w:pPr>
    </w:p>
    <w:p>
      <w:pPr>
        <w:ind w:left="300" w:right="419" w:firstLine="441"/>
        <w:spacing w:after="0" w:line="261" w:lineRule="auto"/>
        <w:rPr>
          <w:sz w:val="20"/>
          <w:szCs w:val="20"/>
          <w:color w:val="auto"/>
        </w:rPr>
      </w:pPr>
      <w:r>
        <w:rPr>
          <w:rFonts w:ascii="Times New Roman" w:cs="Times New Roman" w:eastAsia="Times New Roman" w:hAnsi="Times New Roman"/>
          <w:sz w:val="18"/>
          <w:szCs w:val="18"/>
          <w:color w:val="auto"/>
        </w:rPr>
        <w:t>In order to comply with the Conflict Minerals Rule, we rely on our direct suppliers to provide information on the origin of the Conflict Minerals contained in components and materials supplied to us, including sources of Conflict Minerals that are supplied to them from lower tier suppliers. Our outreach efforts for the past ten years are summarized below:</w:t>
      </w:r>
    </w:p>
    <w:p>
      <w:pPr>
        <w:spacing w:after="0" w:line="207" w:lineRule="exact"/>
        <w:rPr>
          <w:sz w:val="20"/>
          <w:szCs w:val="20"/>
          <w:color w:val="auto"/>
        </w:rPr>
      </w:pPr>
    </w:p>
    <w:p>
      <w:pPr>
        <w:ind w:left="940" w:hanging="324"/>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2016, we contacted over 3,500 of our direct suppliers, representing 99% of our 2016 expenditures.</w:t>
      </w:r>
    </w:p>
    <w:p>
      <w:pPr>
        <w:spacing w:after="0" w:line="27" w:lineRule="exact"/>
        <w:rPr>
          <w:rFonts w:ascii="Times New Roman" w:cs="Times New Roman" w:eastAsia="Times New Roman" w:hAnsi="Times New Roman"/>
          <w:sz w:val="17"/>
          <w:szCs w:val="17"/>
          <w:color w:val="auto"/>
        </w:rPr>
      </w:pPr>
    </w:p>
    <w:p>
      <w:pPr>
        <w:ind w:left="940" w:hanging="324"/>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2017, we contacted over 3,400 of our direct suppliers, representing 99.5% of our 2017 expenditures.</w:t>
      </w:r>
    </w:p>
    <w:p>
      <w:pPr>
        <w:spacing w:after="0" w:line="9" w:lineRule="exact"/>
        <w:rPr>
          <w:rFonts w:ascii="Times New Roman" w:cs="Times New Roman" w:eastAsia="Times New Roman" w:hAnsi="Times New Roman"/>
          <w:sz w:val="17"/>
          <w:szCs w:val="17"/>
          <w:color w:val="auto"/>
        </w:rPr>
      </w:pPr>
    </w:p>
    <w:p>
      <w:pPr>
        <w:ind w:left="940" w:hanging="324"/>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2018, we contacted over 3,800 of our direct suppliers, representing 99.8% of our 2018 expenditures.</w:t>
      </w:r>
    </w:p>
    <w:p>
      <w:pPr>
        <w:spacing w:after="0" w:line="9" w:lineRule="exact"/>
        <w:rPr>
          <w:rFonts w:ascii="Times New Roman" w:cs="Times New Roman" w:eastAsia="Times New Roman" w:hAnsi="Times New Roman"/>
          <w:sz w:val="17"/>
          <w:szCs w:val="17"/>
          <w:color w:val="auto"/>
        </w:rPr>
      </w:pPr>
    </w:p>
    <w:p>
      <w:pPr>
        <w:ind w:left="940" w:right="399" w:hanging="324"/>
        <w:spacing w:after="0" w:line="250"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2019, we engaged a third-party service provider, Source Intelligence, to contact over 4,400 of our direct suppliers, representing 100% of our 2019 expenditures.</w:t>
      </w:r>
    </w:p>
    <w:p>
      <w:pPr>
        <w:ind w:left="940" w:right="519" w:hanging="324"/>
        <w:spacing w:after="0" w:line="250"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2020, we developed a more robust system to track our suppliers, resulting in the elimination of a significant number of duplicate and non-inventory suppliers from our total supplier count. We reengaged Source Intelligence to contact over 3,300 of our direct suppliers, representing 100% of our 2020 expenditures. We received responses from 63% of our suppliers, a 9% increase compared to 2019.</w:t>
      </w:r>
    </w:p>
    <w:p>
      <w:pPr>
        <w:spacing w:after="0" w:line="1" w:lineRule="exact"/>
        <w:rPr>
          <w:rFonts w:ascii="Times New Roman" w:cs="Times New Roman" w:eastAsia="Times New Roman" w:hAnsi="Times New Roman"/>
          <w:sz w:val="17"/>
          <w:szCs w:val="17"/>
          <w:color w:val="auto"/>
        </w:rPr>
      </w:pPr>
    </w:p>
    <w:p>
      <w:pPr>
        <w:ind w:left="940" w:right="499" w:hanging="324"/>
        <w:spacing w:after="0" w:line="250"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2021, we improved the categorization of our spend data, resulting in the elimination of additional non-inventory suppliers. We reengaged Source Intelligence to contact over 2,700 of our direct suppliers, representing 100% of our 2021 expenditures. We received responses from 69% of our suppliers, a 6% increase compared to 2020.</w:t>
      </w:r>
    </w:p>
    <w:p>
      <w:pPr>
        <w:spacing w:after="0" w:line="1" w:lineRule="exact"/>
        <w:rPr>
          <w:rFonts w:ascii="Times New Roman" w:cs="Times New Roman" w:eastAsia="Times New Roman" w:hAnsi="Times New Roman"/>
          <w:sz w:val="17"/>
          <w:szCs w:val="17"/>
          <w:color w:val="auto"/>
        </w:rPr>
      </w:pPr>
    </w:p>
    <w:p>
      <w:pPr>
        <w:ind w:left="940" w:right="499" w:hanging="324"/>
        <w:spacing w:after="0" w:line="250"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2022, we engaged a new third-party service provider, Assent Compliance, to contact over 3,300 of our direct suppliers, representing 100% of our 2022 expenditures. We received responses from 68% of our suppliers, a similar response rate compared to 2021.</w:t>
      </w:r>
    </w:p>
    <w:p>
      <w:pPr>
        <w:spacing w:after="0" w:line="1" w:lineRule="exact"/>
        <w:rPr>
          <w:rFonts w:ascii="Times New Roman" w:cs="Times New Roman" w:eastAsia="Times New Roman" w:hAnsi="Times New Roman"/>
          <w:sz w:val="17"/>
          <w:szCs w:val="17"/>
          <w:color w:val="auto"/>
        </w:rPr>
      </w:pPr>
    </w:p>
    <w:p>
      <w:pPr>
        <w:ind w:left="940" w:right="299" w:hanging="324"/>
        <w:spacing w:after="0" w:line="250"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2023, we (i) reengaged Assent Compliance to contact over 3,300 of our direct suppliers of non-chemistry products (“Non-Chemistry Products”), representing 100% of our 2023 expenditures for Non-Chemistry Products, and (ii) contacted our direct suppliers of chemistry products that contain Conflict Minerals (“Relevant Chemistry Products” and, together with Non-Chemistry Products, “Relevant Products”), representing 100% of our 2023 expenditures for Relevant Chemistry Products. We received responses from 72% of our suppliers (including 100% of our suppliers of Relevant Chemistry Products).</w:t>
      </w:r>
    </w:p>
    <w:p>
      <w:pPr>
        <w:spacing w:after="0" w:line="2" w:lineRule="exact"/>
        <w:rPr>
          <w:rFonts w:ascii="Times New Roman" w:cs="Times New Roman" w:eastAsia="Times New Roman" w:hAnsi="Times New Roman"/>
          <w:sz w:val="17"/>
          <w:szCs w:val="17"/>
          <w:color w:val="auto"/>
        </w:rPr>
      </w:pPr>
    </w:p>
    <w:p>
      <w:pPr>
        <w:ind w:left="940" w:right="419" w:hanging="324"/>
        <w:spacing w:after="0" w:line="250"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2024, we conducted our outreach efforts on a divisional basis. For VSD and PSD, we reengaged Assent Compliance to contact over 3,300 direct suppliers of VSD and PSD, representing 100% of 2024 expenditures by VSD and PSD. For MSD, we engaged a new third-party service provider, IntegrityNext. We and IntegrityNext contacted 40 direct suppliers of MSD, representing 100% of 2024 expenditures by MSD for Relevant Products. We received responses from 76% of the suppliers we contacted.</w:t>
      </w:r>
    </w:p>
    <w:p>
      <w:pPr>
        <w:spacing w:after="0" w:line="1" w:lineRule="exact"/>
        <w:rPr>
          <w:rFonts w:ascii="Times New Roman" w:cs="Times New Roman" w:eastAsia="Times New Roman" w:hAnsi="Times New Roman"/>
          <w:sz w:val="17"/>
          <w:szCs w:val="17"/>
          <w:color w:val="auto"/>
        </w:rPr>
      </w:pPr>
    </w:p>
    <w:p>
      <w:pPr>
        <w:ind w:left="940" w:right="459" w:hanging="324"/>
        <w:spacing w:after="0" w:line="250"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2025, we continued to conduct our outreach efforts on a divisional basis. For VSD and PSD, we reengaged Assent Compliance to contact over 3,400 direct suppliers of VSD and PSD, representing 100% of 2025 expenditures by VSD and PSD. For MSD, we reengaged IntegrityNext. We and IntegrityNext contacted 80 direct suppliers of MSD, representing 100% of 2025 expenditures by MSD for Relevant Products. We received responses from 75% of the suppliers we contacted.</w:t>
      </w:r>
    </w:p>
    <w:p>
      <w:pPr>
        <w:spacing w:after="0" w:line="1" w:lineRule="exact"/>
        <w:rPr>
          <w:rFonts w:ascii="Times New Roman" w:cs="Times New Roman" w:eastAsia="Times New Roman" w:hAnsi="Times New Roman"/>
          <w:sz w:val="17"/>
          <w:szCs w:val="17"/>
          <w:color w:val="auto"/>
        </w:rPr>
      </w:pPr>
    </w:p>
    <w:p>
      <w:pPr>
        <w:ind w:left="940" w:right="999" w:hanging="324"/>
        <w:spacing w:after="0" w:line="260"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year we, or our third-party service providers, then followed up with electronic reminders and telephone calls to request suppliers complete the surveys.</w:t>
      </w:r>
    </w:p>
    <w:p>
      <w:pPr>
        <w:spacing w:after="0" w:line="181" w:lineRule="exact"/>
        <w:rPr>
          <w:sz w:val="20"/>
          <w:szCs w:val="20"/>
          <w:color w:val="auto"/>
        </w:rPr>
      </w:pPr>
    </w:p>
    <w:p>
      <w:pPr>
        <w:ind w:left="300" w:right="319" w:firstLine="441"/>
        <w:spacing w:after="0" w:line="277" w:lineRule="auto"/>
        <w:rPr>
          <w:sz w:val="20"/>
          <w:szCs w:val="20"/>
          <w:color w:val="auto"/>
        </w:rPr>
      </w:pPr>
      <w:r>
        <w:rPr>
          <w:rFonts w:ascii="Times New Roman" w:cs="Times New Roman" w:eastAsia="Times New Roman" w:hAnsi="Times New Roman"/>
          <w:sz w:val="17"/>
          <w:szCs w:val="17"/>
          <w:color w:val="auto"/>
        </w:rPr>
        <w:t>Despite having conducted a good faith reasonable country of origin inquiry, we are unable to determine the origin of all of the Conflict Minerals in our products. Due to the complexity of our broad product portfolio and supply chain, it will take additional time for many of our suppliers to verify the origin of the Conflict Minerals in the products they supply to us. We continue to engage with each of these suppliers and they in turn continue to engage with their suppliers. We hope that with additional time, these outreach efforts will result in greater transparency into</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638810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194"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our supply chain. In addition, we received confirmation that certain Conflict Minerals in our products likely originated in the Covered Countries. For these reasons, we are required under the Conflict Minerals Rule to submit to the SEC a Conflict Minerals Report as an exhibit to Form SD. This report must include:</w:t>
      </w:r>
    </w:p>
    <w:p>
      <w:pPr>
        <w:spacing w:after="0" w:line="203" w:lineRule="exact"/>
        <w:rPr>
          <w:sz w:val="20"/>
          <w:szCs w:val="20"/>
          <w:color w:val="auto"/>
        </w:rPr>
      </w:pPr>
    </w:p>
    <w:p>
      <w:pPr>
        <w:ind w:left="940" w:right="419" w:hanging="324"/>
        <w:spacing w:after="0" w:line="261"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measures we took to exercise due diligence on the Conflict Minerals’ source and chain of custody;</w:t>
      </w:r>
    </w:p>
    <w:p>
      <w:pPr>
        <w:ind w:left="940" w:right="639" w:hanging="324"/>
        <w:spacing w:after="0" w:line="250"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products manufactured or contracted to be manufactured that are not “DRC conflict free” (i.e. products containing minerals that finance armed groups in the Covered Countries);</w:t>
      </w:r>
    </w:p>
    <w:p>
      <w:pPr>
        <w:ind w:left="940" w:hanging="32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used to process the Conflict Minerals;</w:t>
      </w:r>
    </w:p>
    <w:p>
      <w:pPr>
        <w:spacing w:after="0" w:line="9"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country of origin of the Conflict Minerals; and</w:t>
      </w:r>
    </w:p>
    <w:p>
      <w:pPr>
        <w:spacing w:after="0" w:line="9"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determine the mine or location of origin.</w:t>
      </w:r>
    </w:p>
    <w:p>
      <w:pPr>
        <w:spacing w:after="0" w:line="139" w:lineRule="exact"/>
        <w:rPr>
          <w:sz w:val="20"/>
          <w:szCs w:val="20"/>
          <w:color w:val="auto"/>
        </w:rPr>
      </w:pPr>
    </w:p>
    <w:p>
      <w:pPr>
        <w:ind w:left="300" w:right="319" w:firstLine="441"/>
        <w:spacing w:after="0" w:line="282" w:lineRule="auto"/>
        <w:rPr>
          <w:sz w:val="20"/>
          <w:szCs w:val="20"/>
          <w:color w:val="auto"/>
        </w:rPr>
      </w:pPr>
      <w:r>
        <w:rPr>
          <w:rFonts w:ascii="Times New Roman" w:cs="Times New Roman" w:eastAsia="Times New Roman" w:hAnsi="Times New Roman"/>
          <w:sz w:val="18"/>
          <w:szCs w:val="18"/>
          <w:color w:val="auto"/>
        </w:rPr>
        <w:t xml:space="preserve">In accordance with The Organisation for Economic Co-operation and Development (OECD) Guidance and the Conflict Minerals Rule, this report is available on our website </w:t>
      </w:r>
      <w:r>
        <w:rPr>
          <w:rFonts w:ascii="Times New Roman" w:cs="Times New Roman" w:eastAsia="Times New Roman" w:hAnsi="Times New Roman"/>
          <w:sz w:val="18"/>
          <w:szCs w:val="18"/>
          <w:u w:val="single" w:color="auto"/>
          <w:color w:val="auto"/>
        </w:rPr>
        <w:t>https://www.mks.com/ConflictMineralsReport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Conflict Minerals Policy</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adopted the following Conflict Minerals Policy:</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MKS Conflict Minerals Policy</w:t>
      </w:r>
    </w:p>
    <w:p>
      <w:pPr>
        <w:spacing w:after="0" w:line="229" w:lineRule="exact"/>
        <w:rPr>
          <w:sz w:val="20"/>
          <w:szCs w:val="20"/>
          <w:color w:val="auto"/>
        </w:rPr>
      </w:pPr>
    </w:p>
    <w:p>
      <w:pPr>
        <w:ind w:left="300" w:right="319" w:firstLine="441"/>
        <w:spacing w:after="0" w:line="256" w:lineRule="auto"/>
        <w:rPr>
          <w:sz w:val="20"/>
          <w:szCs w:val="20"/>
          <w:color w:val="auto"/>
        </w:rPr>
      </w:pPr>
      <w:r>
        <w:rPr>
          <w:rFonts w:ascii="Times New Roman" w:cs="Times New Roman" w:eastAsia="Times New Roman" w:hAnsi="Times New Roman"/>
          <w:sz w:val="18"/>
          <w:szCs w:val="18"/>
          <w:color w:val="auto"/>
        </w:rPr>
        <w:t>In 2012, the U.S. Securities and Exchange Commission (the “SEC”) issued its final rule under Section 1502 of the 2010 Dodd-Frank Wall Street Reform and Consumer Protection Act (the “Conflict Minerals Rule”) imposing new disclosure and related supply chain due diligence requirements for public companies regarding their use of “Conflict Minerals” in products they manufacture or contract to manufacture. The goal of this new rule is to curb the violent conflict and human rights abuses in the Democratic Republic of the Congo (“DRC”)</w:t>
      </w:r>
      <w:r>
        <w:rPr>
          <w:rFonts w:ascii="Times New Roman" w:cs="Times New Roman" w:eastAsia="Times New Roman" w:hAnsi="Times New Roman"/>
          <w:sz w:val="9"/>
          <w:szCs w:val="9"/>
          <w:color w:val="auto"/>
        </w:rPr>
        <w:t>1</w:t>
      </w:r>
      <w:r>
        <w:rPr>
          <w:rFonts w:ascii="Times New Roman" w:cs="Times New Roman" w:eastAsia="Times New Roman" w:hAnsi="Times New Roman"/>
          <w:sz w:val="18"/>
          <w:szCs w:val="18"/>
          <w:color w:val="auto"/>
        </w:rPr>
        <w:t xml:space="preserve"> and adjoining countries that are being financed in part by the exploitation and trade of Conflict Minerals from that region.</w:t>
      </w:r>
    </w:p>
    <w:p>
      <w:pPr>
        <w:spacing w:after="0" w:line="187" w:lineRule="exact"/>
        <w:rPr>
          <w:sz w:val="20"/>
          <w:szCs w:val="20"/>
          <w:color w:val="auto"/>
        </w:rPr>
      </w:pPr>
    </w:p>
    <w:p>
      <w:pPr>
        <w:ind w:left="300" w:right="339" w:firstLine="441"/>
        <w:spacing w:after="0" w:line="252" w:lineRule="auto"/>
        <w:rPr>
          <w:sz w:val="20"/>
          <w:szCs w:val="20"/>
          <w:color w:val="auto"/>
        </w:rPr>
      </w:pPr>
      <w:r>
        <w:rPr>
          <w:rFonts w:ascii="Times New Roman" w:cs="Times New Roman" w:eastAsia="Times New Roman" w:hAnsi="Times New Roman"/>
          <w:sz w:val="18"/>
          <w:szCs w:val="18"/>
          <w:color w:val="auto"/>
        </w:rPr>
        <w:t>The Conflict Minerals Rule defines “Conflict Minerals” as cassiterite (tin), columbite-tantalite (tantalum), wolframite (tungsten), their respective derivatives and gold (commonly referred to as the “3Ts&amp;G”). MKS, being a global provider of instruments, systems, subsystems and process control solutions that measure, monitor, deliver, analyze, power and control critical parameters of advanced manufacturing processes to improve process performance and productivity for its customers, uses certain of these Conflict Minerals in the manufacturing of its products. MKS is committed to identifying any of its suppliers who source Conflict Minerals from the DRC region from conflict sources. We expect our suppliers to partner with us in this endeavor regardless of whether they are subject to the new Conflict Minerals Rule by providing us with all necessary declarations. We also expect our suppliers to pass this requirement on to their supply chain if they do not source directly from smelters, to determine the source of the Conflict Minerals. The process of mapping our end-to-end supply chain is onerous because MKS deals with multiple tiers and a very large number of suppliers. However, MKS is committed to this effort and should MKS discover at any time that any of its suppliers are sourcing materials from the DRC region from conflict sources, MKS will work with the supplier to end this practice and if the supplier refuses, MKS will work diligently to identify and partner with an alternative supplier.</w:t>
      </w:r>
    </w:p>
    <w:p>
      <w:pPr>
        <w:spacing w:after="0" w:line="197" w:lineRule="exact"/>
        <w:rPr>
          <w:sz w:val="20"/>
          <w:szCs w:val="20"/>
          <w:color w:val="auto"/>
        </w:rPr>
      </w:pPr>
    </w:p>
    <w:p>
      <w:pPr>
        <w:ind w:left="300" w:right="1679" w:firstLine="441"/>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regarding MKS’ Policy on Conflict Minerals, please contact us at </w:t>
      </w:r>
      <w:r>
        <w:rPr>
          <w:rFonts w:ascii="Times New Roman" w:cs="Times New Roman" w:eastAsia="Times New Roman" w:hAnsi="Times New Roman"/>
          <w:sz w:val="18"/>
          <w:szCs w:val="18"/>
          <w:u w:val="single" w:color="auto"/>
          <w:color w:val="auto"/>
        </w:rPr>
        <w:t>conflictminerals_customer@mksinst.com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MKS’ relevant Conflict Minerals Report can be found at </w:t>
      </w:r>
      <w:r>
        <w:rPr>
          <w:rFonts w:ascii="Times New Roman" w:cs="Times New Roman" w:eastAsia="Times New Roman" w:hAnsi="Times New Roman"/>
          <w:sz w:val="18"/>
          <w:szCs w:val="18"/>
          <w:u w:val="single" w:color="auto"/>
          <w:color w:val="auto"/>
        </w:rPr>
        <w:t>https://www.mks.com/ConflictMineralsReport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Our policy is publicly available on our website at </w:t>
      </w:r>
      <w:r>
        <w:rPr>
          <w:rFonts w:ascii="Times New Roman" w:cs="Times New Roman" w:eastAsia="Times New Roman" w:hAnsi="Times New Roman"/>
          <w:sz w:val="18"/>
          <w:szCs w:val="18"/>
          <w:u w:val="single" w:color="auto"/>
          <w:color w:val="auto"/>
        </w:rPr>
        <w:t>https://www.mks.com/ConflictMineralsPolicy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20" w:right="339" w:hanging="328"/>
        <w:spacing w:after="0" w:line="255"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procured from the following “covered countries” are the focus of the Rule: the DRC, Angola, Burundi, the Central African Republic, the Republic of the Congo, Rwanda, South Sudan, Tanzania, Uganda, and Zambia</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638810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17" w:lineRule="exact"/>
        <w:rPr>
          <w:sz w:val="20"/>
          <w:szCs w:val="20"/>
          <w:color w:val="auto"/>
        </w:rPr>
      </w:pPr>
    </w:p>
    <w:p>
      <w:pPr>
        <w:ind w:left="620" w:hanging="328"/>
        <w:spacing w:after="0"/>
        <w:tabs>
          <w:tab w:leader="none" w:pos="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Process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2.1 Design of Due Diligence</w:t>
      </w:r>
    </w:p>
    <w:p>
      <w:pPr>
        <w:spacing w:after="0" w:line="121" w:lineRule="exact"/>
        <w:rPr>
          <w:sz w:val="20"/>
          <w:szCs w:val="20"/>
          <w:color w:val="auto"/>
        </w:rPr>
      </w:pPr>
    </w:p>
    <w:p>
      <w:pPr>
        <w:ind w:left="300" w:right="719" w:firstLine="441"/>
        <w:spacing w:after="0" w:line="266" w:lineRule="auto"/>
        <w:rPr>
          <w:sz w:val="20"/>
          <w:szCs w:val="20"/>
          <w:color w:val="auto"/>
        </w:rPr>
      </w:pPr>
      <w:r>
        <w:rPr>
          <w:rFonts w:ascii="Times New Roman" w:cs="Times New Roman" w:eastAsia="Times New Roman" w:hAnsi="Times New Roman"/>
          <w:sz w:val="18"/>
          <w:szCs w:val="18"/>
          <w:color w:val="auto"/>
        </w:rPr>
        <w:t>Our due diligence process has been designed to conform generally with the framework in the OECD Due Diligence Guidance for Responsible Supply Chains of Minerals from Conflict-Affected and High-Risk Areas (OECD Guidance) and the related Supplements for gold and for tin, tantalum and tungsten.</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due diligence process includes:</w:t>
      </w:r>
    </w:p>
    <w:p>
      <w:pPr>
        <w:spacing w:after="0" w:line="252" w:lineRule="exact"/>
        <w:rPr>
          <w:sz w:val="20"/>
          <w:szCs w:val="20"/>
          <w:color w:val="auto"/>
        </w:rPr>
      </w:pPr>
    </w:p>
    <w:p>
      <w:pPr>
        <w:ind w:left="940" w:hanging="32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Conflict Minerals Policy;</w:t>
      </w:r>
    </w:p>
    <w:p>
      <w:pPr>
        <w:spacing w:after="0" w:line="27"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cross-functional team for complying with the Conflict Minerals Rule;</w:t>
      </w:r>
    </w:p>
    <w:p>
      <w:pPr>
        <w:spacing w:after="0" w:line="9"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suppliers;</w:t>
      </w:r>
    </w:p>
    <w:p>
      <w:pPr>
        <w:spacing w:after="0" w:line="9"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compliance process and measurement;</w:t>
      </w:r>
    </w:p>
    <w:p>
      <w:pPr>
        <w:spacing w:after="0" w:line="9"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record keeping; and</w:t>
      </w:r>
    </w:p>
    <w:p>
      <w:pPr>
        <w:spacing w:after="0" w:line="9"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follow-up communication with suppliers.</w:t>
      </w:r>
    </w:p>
    <w:p>
      <w:pPr>
        <w:spacing w:after="0" w:line="3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2.2 Management Systems</w:t>
      </w:r>
    </w:p>
    <w:p>
      <w:pPr>
        <w:spacing w:after="0" w:line="121" w:lineRule="exact"/>
        <w:rPr>
          <w:sz w:val="20"/>
          <w:szCs w:val="20"/>
          <w:color w:val="auto"/>
        </w:rPr>
      </w:pPr>
    </w:p>
    <w:p>
      <w:pPr>
        <w:ind w:left="300" w:right="1739" w:firstLine="441"/>
        <w:spacing w:after="0" w:line="282" w:lineRule="auto"/>
        <w:rPr>
          <w:sz w:val="20"/>
          <w:szCs w:val="20"/>
          <w:color w:val="auto"/>
        </w:rPr>
      </w:pPr>
      <w:r>
        <w:rPr>
          <w:rFonts w:ascii="Times New Roman" w:cs="Times New Roman" w:eastAsia="Times New Roman" w:hAnsi="Times New Roman"/>
          <w:sz w:val="18"/>
          <w:szCs w:val="18"/>
          <w:color w:val="auto"/>
        </w:rPr>
        <w:t xml:space="preserve">As described above, MKS has adopted a company policy which is posted on our website at </w:t>
      </w:r>
      <w:r>
        <w:rPr>
          <w:rFonts w:ascii="Times New Roman" w:cs="Times New Roman" w:eastAsia="Times New Roman" w:hAnsi="Times New Roman"/>
          <w:sz w:val="18"/>
          <w:szCs w:val="18"/>
          <w:u w:val="single" w:color="auto"/>
          <w:color w:val="auto"/>
        </w:rPr>
        <w:t>https://www.mks.com/ConflictMineralsPolicy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Internal Team</w:t>
      </w:r>
    </w:p>
    <w:p>
      <w:pPr>
        <w:spacing w:after="0" w:line="121" w:lineRule="exact"/>
        <w:rPr>
          <w:sz w:val="20"/>
          <w:szCs w:val="20"/>
          <w:color w:val="auto"/>
        </w:rPr>
      </w:pPr>
    </w:p>
    <w:p>
      <w:pPr>
        <w:ind w:left="300" w:right="319" w:firstLine="441"/>
        <w:spacing w:after="0" w:line="266" w:lineRule="auto"/>
        <w:rPr>
          <w:sz w:val="20"/>
          <w:szCs w:val="20"/>
          <w:color w:val="auto"/>
        </w:rPr>
      </w:pPr>
      <w:r>
        <w:rPr>
          <w:rFonts w:ascii="Times New Roman" w:cs="Times New Roman" w:eastAsia="Times New Roman" w:hAnsi="Times New Roman"/>
          <w:sz w:val="18"/>
          <w:szCs w:val="18"/>
          <w:color w:val="auto"/>
        </w:rPr>
        <w:t>MKS has established a cross-functional team led by our Global Supply Chain Manager, who has over 20 years of experience in chemical and supplier management. The team is responsible for implementing our Conflict Minerals compliance strategy. Senior management is briefed about the results of our due diligence efforts.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Supplier Engagement</w:t>
      </w:r>
    </w:p>
    <w:p>
      <w:pPr>
        <w:spacing w:after="0" w:line="121" w:lineRule="exact"/>
        <w:rPr>
          <w:sz w:val="20"/>
          <w:szCs w:val="20"/>
          <w:color w:val="auto"/>
        </w:rPr>
      </w:pPr>
    </w:p>
    <w:p>
      <w:pPr>
        <w:ind w:left="300" w:right="459" w:firstLine="441"/>
        <w:spacing w:after="0" w:line="258" w:lineRule="auto"/>
        <w:rPr>
          <w:sz w:val="20"/>
          <w:szCs w:val="20"/>
          <w:color w:val="auto"/>
        </w:rPr>
      </w:pPr>
      <w:r>
        <w:rPr>
          <w:rFonts w:ascii="Times New Roman" w:cs="Times New Roman" w:eastAsia="Times New Roman" w:hAnsi="Times New Roman"/>
          <w:sz w:val="18"/>
          <w:szCs w:val="18"/>
          <w:color w:val="auto"/>
        </w:rPr>
        <w:t>With respect to the OECD requirement to strengthen engagement with suppliers, we have established, where practicable, long-term relationships with our numerous suppliers. We have communicated to our suppliers our expectations with respect to the Conflict Minerals Rule. In addition, we have incorporated our expectations with respect to our Conflict Mineral Policy and reporting obligation into the terms and conditions of our supplier contracts.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Maintain Records</w:t>
      </w:r>
    </w:p>
    <w:p>
      <w:pPr>
        <w:spacing w:after="0" w:line="121" w:lineRule="exact"/>
        <w:rPr>
          <w:sz w:val="20"/>
          <w:szCs w:val="20"/>
          <w:color w:val="auto"/>
        </w:rPr>
      </w:pPr>
    </w:p>
    <w:p>
      <w:pPr>
        <w:ind w:left="300" w:right="479" w:firstLine="441"/>
        <w:spacing w:after="0" w:line="282" w:lineRule="auto"/>
        <w:rPr>
          <w:sz w:val="20"/>
          <w:szCs w:val="20"/>
          <w:color w:val="auto"/>
        </w:rPr>
      </w:pPr>
      <w:r>
        <w:rPr>
          <w:rFonts w:ascii="Times New Roman" w:cs="Times New Roman" w:eastAsia="Times New Roman" w:hAnsi="Times New Roman"/>
          <w:sz w:val="18"/>
          <w:szCs w:val="18"/>
          <w:color w:val="auto"/>
        </w:rPr>
        <w:t>We have developed an internal system for documenting the implementation, management and monitoring of our Conflict Minerals Program.</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2.3 Identify and Assess Risk in the Supply Chain</w:t>
      </w:r>
    </w:p>
    <w:p>
      <w:pPr>
        <w:spacing w:after="0" w:line="121" w:lineRule="exact"/>
        <w:rPr>
          <w:sz w:val="20"/>
          <w:szCs w:val="20"/>
          <w:color w:val="auto"/>
        </w:rPr>
      </w:pPr>
    </w:p>
    <w:p>
      <w:pPr>
        <w:ind w:left="300" w:right="299" w:firstLine="441"/>
        <w:spacing w:after="0" w:line="270" w:lineRule="auto"/>
        <w:rPr>
          <w:sz w:val="20"/>
          <w:szCs w:val="20"/>
          <w:color w:val="auto"/>
        </w:rPr>
      </w:pPr>
      <w:r>
        <w:rPr>
          <w:rFonts w:ascii="Times New Roman" w:cs="Times New Roman" w:eastAsia="Times New Roman" w:hAnsi="Times New Roman"/>
          <w:sz w:val="17"/>
          <w:szCs w:val="17"/>
          <w:color w:val="auto"/>
        </w:rPr>
        <w:t>Because of our size, the complexity of our products, and the depth and breadth of our supply chain, it is difficult to identify suppliers upstream from our direct suppliers. In 2025, either directly or through our third-party service providers, Assent Compliance and IntegrityNext, we reached out to all of our direct suppliers for Relevant Products, representing 100% of our supplier spend for Relevant Products. We rely on these suppliers, whose components and materials contain Conflict Minerals, to provide us with information about the source of Conflict Minerals contained in the components and materials supplied to us. Our direct suppliers are similarly reliant upon information provided by their suppliers. Many of our direct suppliers and distributors either: (i) provided names of smelters or refiners that could not be verified using the Responsible Minerals Assurance Process Conformant Smelters &amp; Refiners Lists, (ii) did not respond to our survey despite follow-up requests, (iii) responded to our survey with incomplete or inconsistent information, or (iv) responded to our survey with a form letter informing us that they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638810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would not be completing the survey due to a variety of reasons, including, but not limited to: (a) lack of resources,</w:t>
      </w:r>
    </w:p>
    <w:p>
      <w:pPr>
        <w:spacing w:after="0" w:line="27" w:lineRule="exact"/>
        <w:rPr>
          <w:sz w:val="20"/>
          <w:szCs w:val="20"/>
          <w:color w:val="auto"/>
        </w:rPr>
      </w:pPr>
    </w:p>
    <w:p>
      <w:pPr>
        <w:ind w:left="300" w:right="339" w:hanging="8"/>
        <w:spacing w:after="0" w:line="252" w:lineRule="auto"/>
        <w:tabs>
          <w:tab w:leader="none" w:pos="5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only de minimis amounts of Conflict Minerals were contained in their products, and/or (c) the supplier was not itself subject to the Conflict Minerals Rule. In general, follow-up requests to these suppliers did not produce additional information unless we had leverage with a particular supplier due to the amount of our spend with such supplier. More time is still needed to determine all of the smelters/refiners used in our supply chain. MKS plans to continue its efforts to identify all of the Conflict Minerals’ smelters/refiners used in our supply chain through a combination of annual supplier surveys and direct follow-up supplier engagement.</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2.4 Design and Implement a Strategy to Respond to Risks</w:t>
      </w:r>
    </w:p>
    <w:p>
      <w:pPr>
        <w:spacing w:after="0" w:line="121" w:lineRule="exact"/>
        <w:rPr>
          <w:sz w:val="20"/>
          <w:szCs w:val="20"/>
          <w:color w:val="auto"/>
        </w:rPr>
      </w:pPr>
    </w:p>
    <w:p>
      <w:pPr>
        <w:ind w:left="300" w:right="339" w:firstLine="441"/>
        <w:spacing w:after="0" w:line="282" w:lineRule="auto"/>
        <w:rPr>
          <w:sz w:val="20"/>
          <w:szCs w:val="20"/>
          <w:color w:val="auto"/>
        </w:rPr>
      </w:pPr>
      <w:r>
        <w:rPr>
          <w:rFonts w:ascii="Times New Roman" w:cs="Times New Roman" w:eastAsia="Times New Roman" w:hAnsi="Times New Roman"/>
          <w:sz w:val="18"/>
          <w:szCs w:val="18"/>
          <w:color w:val="auto"/>
        </w:rPr>
        <w:t>MKS has a risk management plan through which the Conflict Minerals program is implemented, managed and monitored. Updates to this risk assessment are provided to senior management.</w:t>
      </w:r>
    </w:p>
    <w:p>
      <w:pPr>
        <w:spacing w:after="0" w:line="162" w:lineRule="exact"/>
        <w:rPr>
          <w:sz w:val="20"/>
          <w:szCs w:val="20"/>
          <w:color w:val="auto"/>
        </w:rPr>
      </w:pPr>
    </w:p>
    <w:p>
      <w:pPr>
        <w:ind w:left="300" w:right="419" w:firstLine="441"/>
        <w:spacing w:after="0" w:line="255" w:lineRule="auto"/>
        <w:rPr>
          <w:sz w:val="20"/>
          <w:szCs w:val="20"/>
          <w:color w:val="auto"/>
        </w:rPr>
      </w:pPr>
      <w:r>
        <w:rPr>
          <w:rFonts w:ascii="Times New Roman" w:cs="Times New Roman" w:eastAsia="Times New Roman" w:hAnsi="Times New Roman"/>
          <w:sz w:val="18"/>
          <w:szCs w:val="18"/>
          <w:color w:val="auto"/>
        </w:rPr>
        <w:t>As part of our risk management plan, to ensure suppliers understand our expectations, in addition to the Conflict Minerals Policy that we publish on our website, we incorporate our expectations with respect to our Conflict Mineral Policy into the terms and conditions of our supplier contracts. Either directly or through our third-party service providers, Assent Compliance and IntegrityNext, we also (i) requested information from our suppliers who represent 100% of our 2025 supplier spend for Relevant Products and (ii) held individual follow-up calls with and/or sent emails to those suppliers whose survey responses were incomplete, unclear or seemed erroneous based on our knowledge of the materials we purchase from that supplier.</w:t>
      </w:r>
    </w:p>
    <w:p>
      <w:pPr>
        <w:spacing w:after="0" w:line="189" w:lineRule="exact"/>
        <w:rPr>
          <w:sz w:val="20"/>
          <w:szCs w:val="20"/>
          <w:color w:val="auto"/>
        </w:rPr>
      </w:pPr>
    </w:p>
    <w:p>
      <w:pPr>
        <w:ind w:left="300" w:right="339" w:firstLine="441"/>
        <w:spacing w:after="0" w:line="261" w:lineRule="auto"/>
        <w:rPr>
          <w:sz w:val="20"/>
          <w:szCs w:val="20"/>
          <w:color w:val="auto"/>
        </w:rPr>
      </w:pPr>
      <w:r>
        <w:rPr>
          <w:rFonts w:ascii="Times New Roman" w:cs="Times New Roman" w:eastAsia="Times New Roman" w:hAnsi="Times New Roman"/>
          <w:sz w:val="18"/>
          <w:szCs w:val="18"/>
          <w:color w:val="auto"/>
        </w:rPr>
        <w:t>As described in our Conflict Minerals Policy, we will work with any of our suppliers whom we have reason to believe is supplying us with Conflict Minerals from sources that may support conflict in the DRC or any adjoining country to end this practice and if the supplier refuses, we will work diligently to identify and partner with an alternative supplier of Conflict Minerals that does not support such conflict.</w:t>
      </w:r>
    </w:p>
    <w:p>
      <w:pPr>
        <w:spacing w:after="0" w:line="392" w:lineRule="exact"/>
        <w:rPr>
          <w:sz w:val="20"/>
          <w:szCs w:val="20"/>
          <w:color w:val="auto"/>
        </w:rPr>
      </w:pPr>
    </w:p>
    <w:p>
      <w:pPr>
        <w:ind w:left="620" w:right="739" w:hanging="336"/>
        <w:spacing w:after="0" w:line="286" w:lineRule="auto"/>
        <w:rPr>
          <w:sz w:val="20"/>
          <w:szCs w:val="20"/>
          <w:color w:val="auto"/>
        </w:rPr>
      </w:pPr>
      <w:r>
        <w:rPr>
          <w:rFonts w:ascii="Times New Roman" w:cs="Times New Roman" w:eastAsia="Times New Roman" w:hAnsi="Times New Roman"/>
          <w:sz w:val="18"/>
          <w:szCs w:val="18"/>
          <w:b w:val="1"/>
          <w:bCs w:val="1"/>
          <w:color w:val="auto"/>
        </w:rPr>
        <w:t>2.5 Carry out Independent Third-Party Audit of Supply Chain Due Diligence at Identified Points in the Supply Chain</w:t>
      </w:r>
    </w:p>
    <w:p>
      <w:pPr>
        <w:spacing w:after="0" w:line="51" w:lineRule="exact"/>
        <w:rPr>
          <w:sz w:val="20"/>
          <w:szCs w:val="20"/>
          <w:color w:val="auto"/>
        </w:rPr>
      </w:pPr>
    </w:p>
    <w:p>
      <w:pPr>
        <w:ind w:left="300" w:right="359" w:firstLine="441"/>
        <w:spacing w:after="0" w:line="261" w:lineRule="auto"/>
        <w:rPr>
          <w:sz w:val="20"/>
          <w:szCs w:val="20"/>
          <w:color w:val="auto"/>
        </w:rPr>
      </w:pPr>
      <w:r>
        <w:rPr>
          <w:rFonts w:ascii="Times New Roman" w:cs="Times New Roman" w:eastAsia="Times New Roman" w:hAnsi="Times New Roman"/>
          <w:sz w:val="18"/>
          <w:szCs w:val="18"/>
          <w:color w:val="auto"/>
        </w:rPr>
        <w:t>Except with respect to one supplier of gold that is also a smelter, we do not have a direct relationship with Conflict Minerals smelters and refiners. We do not perform or direct audits of these entities within our supply chain. We rely on audits performed by industry groups like the Responsible Business Alliance’s Responsible Minerals Initiative.</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2.6 Report on Supply Chain Due Diligence</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This report is available on our website at </w:t>
      </w:r>
      <w:r>
        <w:rPr>
          <w:rFonts w:ascii="Times New Roman" w:cs="Times New Roman" w:eastAsia="Times New Roman" w:hAnsi="Times New Roman"/>
          <w:sz w:val="18"/>
          <w:szCs w:val="18"/>
          <w:u w:val="single" w:color="auto"/>
          <w:color w:val="auto"/>
        </w:rPr>
        <w:t>https://www.mks.com/ConflictMineralsReport</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300" w:right="6739" w:hanging="8"/>
        <w:spacing w:after="0" w:line="400" w:lineRule="auto"/>
        <w:tabs>
          <w:tab w:leader="none" w:pos="624"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Due Diligence Results Request Information</w:t>
      </w:r>
    </w:p>
    <w:p>
      <w:pPr>
        <w:ind w:left="300" w:right="359" w:firstLine="441"/>
        <w:spacing w:after="0" w:line="256" w:lineRule="auto"/>
        <w:rPr>
          <w:sz w:val="20"/>
          <w:szCs w:val="20"/>
          <w:color w:val="auto"/>
        </w:rPr>
      </w:pPr>
      <w:r>
        <w:rPr>
          <w:rFonts w:ascii="Times New Roman" w:cs="Times New Roman" w:eastAsia="Times New Roman" w:hAnsi="Times New Roman"/>
          <w:sz w:val="18"/>
          <w:szCs w:val="18"/>
          <w:color w:val="auto"/>
        </w:rPr>
        <w:t>We conducted a survey of those suppliers described above using the Responsible Minerals Initiative template, known as the Conflict Minerals Reporting Template. The template was developed to facilitate disclosure and communication of information regarding smelters that provide material to a company’s supply chain. It includes questions regarding a company’s Conflict Minerals policy, engagement with its direct suppliers, and a listing of the smelters the company and its suppliers use. In addition, the template contains questions about the origin of Conflict Minerals included in their products.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Survey Responses</w:t>
      </w:r>
    </w:p>
    <w:p>
      <w:pPr>
        <w:spacing w:after="0" w:line="121" w:lineRule="exact"/>
        <w:rPr>
          <w:sz w:val="20"/>
          <w:szCs w:val="20"/>
          <w:color w:val="auto"/>
        </w:rPr>
      </w:pPr>
    </w:p>
    <w:p>
      <w:pPr>
        <w:ind w:left="300" w:right="299" w:firstLine="441"/>
        <w:spacing w:after="0" w:line="277" w:lineRule="auto"/>
        <w:rPr>
          <w:sz w:val="20"/>
          <w:szCs w:val="20"/>
          <w:color w:val="auto"/>
        </w:rPr>
      </w:pPr>
      <w:r>
        <w:rPr>
          <w:rFonts w:ascii="Times New Roman" w:cs="Times New Roman" w:eastAsia="Times New Roman" w:hAnsi="Times New Roman"/>
          <w:sz w:val="17"/>
          <w:szCs w:val="17"/>
          <w:color w:val="auto"/>
        </w:rPr>
        <w:t>Either directly or through our third-party service providers, Assent Compliance and IntegrityNext, we received responses from 75% of our direct suppliers of Relevant Products, representing 91% of our direct supplier spend for Relevant Products. We reviewed the responses against criteria developed to determine which required further engagement with our suppliers. The vast majority of our suppliers provided data at a company level (vs. a product level). In many of the responses received, (i) the responses were incomplete and/or contained inconsistencies within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638810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86"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data reported in the template and (ii) the identities of the smelters or refiners were not known. We continue to engage directly with these suppliers to provide revised or missing information. We are therefore not yet in a position to verify that all of the smelters or refiners in our supply chain are certified as conflict-free by the Responsible Business Alliance.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Efforts to Determine Mine or Location of Origin</w:t>
      </w:r>
    </w:p>
    <w:p>
      <w:pPr>
        <w:spacing w:after="0" w:line="121" w:lineRule="exact"/>
        <w:rPr>
          <w:sz w:val="20"/>
          <w:szCs w:val="20"/>
          <w:color w:val="auto"/>
        </w:rPr>
      </w:pPr>
    </w:p>
    <w:p>
      <w:pPr>
        <w:ind w:left="300" w:right="379" w:firstLine="441"/>
        <w:spacing w:after="0" w:line="252" w:lineRule="auto"/>
        <w:rPr>
          <w:sz w:val="20"/>
          <w:szCs w:val="20"/>
          <w:color w:val="auto"/>
        </w:rPr>
      </w:pPr>
      <w:r>
        <w:rPr>
          <w:rFonts w:ascii="Times New Roman" w:cs="Times New Roman" w:eastAsia="Times New Roman" w:hAnsi="Times New Roman"/>
          <w:sz w:val="18"/>
          <w:szCs w:val="18"/>
          <w:color w:val="auto"/>
        </w:rPr>
        <w:t xml:space="preserve">In our supplier survey, we requested our suppliers to identify the smelter or refiner used in their respective supply chain. We have determined that seeking information about Conflict Minerals’ smelters and refiners in our supply chain represents the most reasonable effort we can make to determine the mines or locations of origin of the Conflict Minerals in our supply chain. Based on the information provided by MKS suppliers in 2025,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includes 366 smelters and refiners used in our supply chain that were identified by Responsible Minerals Initiative as “Conformant,” “Active,” or “Known.” “Conformant” smelters and refiners are those smelters and refiners that have undergone a third-party audit, have systems in place to assure sourcing of only DRC conflict free materials, and are therefore identified as “Conformant” with Responsible Minerals Initiative’s Process Assessment Program. “Active” smelters are those that have agreed in writing to produce information and are actively progressing towards a third-party audit. “Known” smelters and refiners are known to Responsible Minerals Initiative but not currently classified as “Conformant” or “Active.” Despite our due diligence efforts, we know this list is incomplete as several of our suppliers either did not return a completed survey or returned an incomplete survey which did not include smelter or refiner names. We expect that with more time, more upstream suppliers will be in a better position to identify relevant smelters and refiners and will in turn pass that information further down the supply chain so that this list will be more complete.</w:t>
      </w:r>
    </w:p>
    <w:p>
      <w:pPr>
        <w:spacing w:after="0" w:line="196" w:lineRule="exact"/>
        <w:rPr>
          <w:sz w:val="20"/>
          <w:szCs w:val="20"/>
          <w:color w:val="auto"/>
        </w:rPr>
      </w:pPr>
    </w:p>
    <w:p>
      <w:pPr>
        <w:ind w:left="300" w:right="459" w:firstLine="441"/>
        <w:spacing w:after="0" w:line="258" w:lineRule="auto"/>
        <w:rPr>
          <w:sz w:val="20"/>
          <w:szCs w:val="20"/>
          <w:color w:val="auto"/>
        </w:rPr>
      </w:pPr>
      <w:r>
        <w:rPr>
          <w:rFonts w:ascii="Times New Roman" w:cs="Times New Roman" w:eastAsia="Times New Roman" w:hAnsi="Times New Roman"/>
          <w:sz w:val="18"/>
          <w:szCs w:val="18"/>
          <w:color w:val="auto"/>
        </w:rPr>
        <w:t>To date, we have been informed that four of the smelters identified by our suppliers are located in Covered Countries but with further due diligence, we confirmed that all are on the Responsible Minerals Assurance Process Known Smelters &amp; Refiners Lists. We are not aware of any other instance where we have reason to believe any of our suppliers are supplying us with Conflict Minerals from a source that may support conflict in the DRC or any adjoining country.</w:t>
      </w:r>
    </w:p>
    <w:p>
      <w:pPr>
        <w:spacing w:after="0" w:line="395" w:lineRule="exact"/>
        <w:rPr>
          <w:sz w:val="20"/>
          <w:szCs w:val="20"/>
          <w:color w:val="auto"/>
        </w:rPr>
      </w:pPr>
    </w:p>
    <w:p>
      <w:pPr>
        <w:ind w:left="620" w:hanging="328"/>
        <w:spacing w:after="0"/>
        <w:tabs>
          <w:tab w:leader="none" w:pos="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Steps to be Taken Going Forward</w:t>
      </w:r>
    </w:p>
    <w:p>
      <w:pPr>
        <w:spacing w:after="0" w:line="121" w:lineRule="exact"/>
        <w:rPr>
          <w:sz w:val="20"/>
          <w:szCs w:val="20"/>
          <w:color w:val="auto"/>
        </w:rPr>
      </w:pPr>
    </w:p>
    <w:p>
      <w:pPr>
        <w:ind w:left="300" w:right="339" w:firstLine="441"/>
        <w:spacing w:after="0" w:line="282" w:lineRule="auto"/>
        <w:rPr>
          <w:sz w:val="20"/>
          <w:szCs w:val="20"/>
          <w:color w:val="auto"/>
        </w:rPr>
      </w:pPr>
      <w:r>
        <w:rPr>
          <w:rFonts w:ascii="Times New Roman" w:cs="Times New Roman" w:eastAsia="Times New Roman" w:hAnsi="Times New Roman"/>
          <w:sz w:val="18"/>
          <w:szCs w:val="18"/>
          <w:color w:val="auto"/>
        </w:rPr>
        <w:t>We intend to take the following steps in 2026 to expand and improve the due diligence conducted with respect to our supply chain:</w:t>
      </w:r>
    </w:p>
    <w:p>
      <w:pPr>
        <w:spacing w:after="0" w:line="189" w:lineRule="exact"/>
        <w:rPr>
          <w:sz w:val="20"/>
          <w:szCs w:val="20"/>
          <w:color w:val="auto"/>
        </w:rPr>
      </w:pPr>
    </w:p>
    <w:p>
      <w:pPr>
        <w:ind w:left="940" w:right="459" w:hanging="324"/>
        <w:spacing w:after="0" w:line="261"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identify and implement changes to improve the process used to collect survey responses from our very large number of direct suppliers.</w:t>
      </w:r>
    </w:p>
    <w:p>
      <w:pPr>
        <w:ind w:left="940" w:right="319" w:hanging="324"/>
        <w:spacing w:after="0" w:line="250"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remind our suppliers of their obligations and our expectations with respect to Conflict Minerals reporting at our supplier conferences.</w:t>
      </w:r>
    </w:p>
    <w:p>
      <w:pPr>
        <w:ind w:left="940" w:right="539" w:hanging="324"/>
        <w:spacing w:after="0" w:line="250"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with suppliers to attempt to increase the response rate and improve the content of the supplier survey responses.</w:t>
      </w:r>
    </w:p>
    <w:p>
      <w:pPr>
        <w:ind w:left="940" w:right="419" w:hanging="324"/>
        <w:spacing w:after="0" w:line="255"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suppliers are found to be supplying us with Conflict Minerals from sources that support conflict in the Covered Countries, to work with the supplier to end this practice and if the supplier refuses, to work diligently to identify and partner with an alternative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638810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tbl>
      <w:tblPr>
        <w:tblLayout w:type="fixed"/>
        <w:tblInd w:w="31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920" w:type="dxa"/>
            <w:vAlign w:val="bottom"/>
            <w:tcBorders>
              <w:left w:val="single" w:sz="8" w:color="D0CECE"/>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gridSpan w:val="2"/>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20" w:type="dxa"/>
            <w:vAlign w:val="bottom"/>
            <w:tcBorders>
              <w:left w:val="single" w:sz="8" w:color="D0CECE"/>
              <w:right w:val="single" w:sz="8" w:color="D0CECE"/>
            </w:tcBorders>
            <w:shd w:val="clear" w:color="auto" w:fill="D0CECE"/>
          </w:tcPr>
          <w:p>
            <w:pPr>
              <w:spacing w:after="0"/>
              <w:rPr>
                <w:sz w:val="17"/>
                <w:szCs w:val="17"/>
                <w:color w:val="auto"/>
              </w:rPr>
            </w:pPr>
          </w:p>
        </w:tc>
        <w:tc>
          <w:tcPr>
            <w:tcW w:w="13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gridSpan w:val="2"/>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20" w:type="dxa"/>
            <w:vAlign w:val="bottom"/>
            <w:tcBorders>
              <w:left w:val="single" w:sz="8" w:color="D0CECE"/>
              <w:right w:val="single" w:sz="8" w:color="D0CECE"/>
            </w:tcBorders>
            <w:shd w:val="clear" w:color="auto" w:fill="D0CECE"/>
          </w:tcPr>
          <w:p>
            <w:pPr>
              <w:spacing w:after="0"/>
              <w:rPr>
                <w:sz w:val="17"/>
                <w:szCs w:val="17"/>
                <w:color w:val="auto"/>
              </w:rPr>
            </w:pPr>
          </w:p>
        </w:tc>
        <w:tc>
          <w:tcPr>
            <w:tcW w:w="138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00" w:type="dxa"/>
            <w:vAlign w:val="bottom"/>
            <w:shd w:val="clear" w:color="auto" w:fill="D0CECE"/>
          </w:tcPr>
          <w:p>
            <w:pPr>
              <w:spacing w:after="0"/>
              <w:rPr>
                <w:sz w:val="17"/>
                <w:szCs w:val="17"/>
                <w:color w:val="auto"/>
              </w:rPr>
            </w:pPr>
          </w:p>
        </w:tc>
        <w:tc>
          <w:tcPr>
            <w:tcW w:w="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0" w:type="dxa"/>
            <w:vAlign w:val="bottom"/>
            <w:tcBorders>
              <w:left w:val="single" w:sz="8" w:color="D0CECE"/>
              <w:right w:val="single" w:sz="8" w:color="D0CECE"/>
            </w:tcBorders>
            <w:shd w:val="clear" w:color="auto" w:fill="D0CECE"/>
          </w:tcPr>
          <w:p>
            <w:pPr>
              <w:spacing w:after="0"/>
              <w:rPr>
                <w:sz w:val="18"/>
                <w:szCs w:val="18"/>
                <w:color w:val="auto"/>
              </w:rPr>
            </w:pPr>
          </w:p>
        </w:tc>
        <w:tc>
          <w:tcPr>
            <w:tcW w:w="1380" w:type="dxa"/>
            <w:vAlign w:val="bottom"/>
            <w:tcBorders>
              <w:right w:val="single" w:sz="8" w:color="D0CECE"/>
            </w:tcBorders>
            <w:shd w:val="clear" w:color="auto" w:fill="D0CECE"/>
          </w:tcPr>
          <w:p>
            <w:pPr>
              <w:spacing w:after="0"/>
              <w:rPr>
                <w:sz w:val="18"/>
                <w:szCs w:val="18"/>
                <w:color w:val="auto"/>
              </w:rPr>
            </w:pPr>
          </w:p>
        </w:tc>
        <w:tc>
          <w:tcPr>
            <w:tcW w:w="1520" w:type="dxa"/>
            <w:vAlign w:val="bottom"/>
            <w:tcBorders>
              <w:right w:val="single" w:sz="8" w:color="D0CECE"/>
            </w:tcBorders>
            <w:shd w:val="clear" w:color="auto" w:fill="D0CECE"/>
          </w:tcPr>
          <w:p>
            <w:pPr>
              <w:spacing w:after="0"/>
              <w:rPr>
                <w:sz w:val="18"/>
                <w:szCs w:val="18"/>
                <w:color w:val="auto"/>
              </w:rPr>
            </w:pPr>
          </w:p>
        </w:tc>
        <w:tc>
          <w:tcPr>
            <w:tcW w:w="1340" w:type="dxa"/>
            <w:vAlign w:val="bottom"/>
            <w:tcBorders>
              <w:right w:val="single" w:sz="8" w:color="D0CECE"/>
            </w:tcBorders>
            <w:shd w:val="clear" w:color="auto" w:fill="D0CECE"/>
          </w:tcPr>
          <w:p>
            <w:pPr>
              <w:spacing w:after="0"/>
              <w:rPr>
                <w:sz w:val="18"/>
                <w:szCs w:val="18"/>
                <w:color w:val="auto"/>
              </w:rPr>
            </w:pPr>
          </w:p>
        </w:tc>
        <w:tc>
          <w:tcPr>
            <w:tcW w:w="1140" w:type="dxa"/>
            <w:vAlign w:val="bottom"/>
            <w:tcBorders>
              <w:right w:val="single" w:sz="8" w:color="D0CECE"/>
            </w:tcBorders>
            <w:shd w:val="clear" w:color="auto" w:fill="D0CECE"/>
          </w:tcPr>
          <w:p>
            <w:pPr>
              <w:spacing w:after="0"/>
              <w:rPr>
                <w:sz w:val="18"/>
                <w:szCs w:val="18"/>
                <w:color w:val="auto"/>
              </w:rPr>
            </w:pP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00" w:type="dxa"/>
            <w:vAlign w:val="bottom"/>
            <w:shd w:val="clear" w:color="auto" w:fill="D0CECE"/>
          </w:tcPr>
          <w:p>
            <w:pPr>
              <w:spacing w:after="0"/>
              <w:rPr>
                <w:sz w:val="18"/>
                <w:szCs w:val="18"/>
                <w:color w:val="auto"/>
              </w:rPr>
            </w:pPr>
          </w:p>
        </w:tc>
        <w:tc>
          <w:tcPr>
            <w:tcW w:w="40" w:type="dxa"/>
            <w:vAlign w:val="bottom"/>
            <w:tcBorders>
              <w:right w:val="single" w:sz="8" w:color="D0CECE"/>
            </w:tcBorders>
            <w:shd w:val="clear" w:color="auto" w:fill="D0CEC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Tungsten</w:t>
            </w:r>
          </w:p>
        </w:tc>
        <w:tc>
          <w:tcPr>
            <w:tcW w:w="13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A.L.M.T. Corp.</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A.L.M.T. Corp.</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CID000004</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Advanced</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Advanced Chemical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United States Of</w:t>
            </w: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Chemical</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CID000015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Company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Company</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Aida Chemical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Aida Chemical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CID000019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Industries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Industries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Agosi AG</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Agosi AG</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CID000035</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Almalyk Mining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Almalyk Mining and</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and Metallurgical</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Metallurgical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Uzbekistan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CID000041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Complex (AMMC)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Complex (AMMC)</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AngloGold Ashanti</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AngloGold Ashanti</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Corrego do Sitio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Corrego do Sitio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CID000058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Mineracao</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Mineracao</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Argor-Heraeus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Argor-Heraeus S.A.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CID000077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S.A.</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Asahi Pretec Corp.</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Asahi Pretec Corp.</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CID000082</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Asaka Riken Co.,</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Asaka Riken Co., Ltd.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CID000090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Atasay</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Atasay Kuyumculuk</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Kuyumculuk</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Sanayi Ve Ticaret</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Sanayi Ve Ticaret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TURKEY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CID000103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A.S.</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Tungsten</w:t>
            </w: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Kennametal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Kennametal</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CID000105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Huntsville</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Huntsville</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Aurubis AG</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Aurubis AG</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CID000113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Bangko Sentral 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Bangko Sentral 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Pilipinas (Central</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Pilipinas (Central</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Bank of the</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Bank of the</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Philippines</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CID000128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Philippines)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Philippines)</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Boliden Ronnskar</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Boliden Ronnskar</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Sweden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CID000157</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 Hafner GmbH +</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 Hafner GmbH +</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CID000176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KG</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KG</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Caridad</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Caridad</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Mexico</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CID000180</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CCR Refinery -</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CCR Refinery -</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Glencore Canada</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Glencore Canada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Canada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CID000185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Corporation</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Corporation</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Cendres + Metaux</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Cendres + Metaux</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CID000189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Yunnan Copper</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Yunnan Copper</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CID000197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Industry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Industry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Guangdong</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Guangdong Xianglu</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Tungsten</w:t>
            </w: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Xianglu Tungsten</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CID000218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Tungsten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Chenzhou</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Chenzhou Yunxiang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Yunxiang Mining</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Tin</w:t>
            </w: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and Metallurgy</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Mining and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CID000228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Metallurgy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Chimet S.p.A.</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Chimet S.p.A.</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Italy</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CID000233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Chongyi</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Chongyi Zhangyuan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Tungsten</w:t>
            </w: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Zhangyuan</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CID000258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Tungsten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Tungsten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Chugai Mining</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Chugai Mining</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CID000264</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Tungsten</w:t>
            </w: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CNMC (Guangxi)</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CNMC (Guangxi)</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CID000281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PGMA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PGMA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Guangdong Rising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Guangdong Rising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Tantalum</w:t>
            </w:r>
          </w:p>
        </w:tc>
        <w:tc>
          <w:tcPr>
            <w:tcW w:w="138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Rare Metals-EO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Rare Metals-EO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CID000291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Materials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Materials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Tin</w:t>
            </w:r>
          </w:p>
        </w:tc>
        <w:tc>
          <w:tcPr>
            <w:tcW w:w="138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Alpha Assembly</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Alpha Assembly</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CID000292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Solutions Inc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Solutions Inc</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1" w:name="page12"/>
    <w:bookmarkEnd w:id="11"/>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PT Aries Kencana</w:t>
            </w:r>
          </w:p>
        </w:tc>
        <w:tc>
          <w:tcPr>
            <w:tcW w:w="1520" w:type="dxa"/>
            <w:vAlign w:val="bottom"/>
            <w:tcBorders>
              <w:right w:val="single" w:sz="8" w:color="auto"/>
            </w:tcBorders>
          </w:tcPr>
          <w:p>
            <w:pPr>
              <w:ind w:left="100"/>
              <w:spacing w:after="0" w:line="104" w:lineRule="exact"/>
              <w:rPr>
                <w:sz w:val="20"/>
                <w:szCs w:val="20"/>
                <w:color w:val="auto"/>
              </w:rPr>
            </w:pPr>
            <w:r>
              <w:rPr>
                <w:rFonts w:ascii="Times New Roman" w:cs="Times New Roman" w:eastAsia="Times New Roman" w:hAnsi="Times New Roman"/>
                <w:sz w:val="12"/>
                <w:szCs w:val="12"/>
                <w:color w:val="auto"/>
              </w:rPr>
              <w:t>PT Aries Kencana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CID000309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Sejahtera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Sejahtera</w:t>
            </w: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color w:val="auto"/>
              </w:rPr>
              <w:t>PT Premium Tin</w:t>
            </w:r>
          </w:p>
        </w:tc>
        <w:tc>
          <w:tcPr>
            <w:tcW w:w="1520" w:type="dxa"/>
            <w:vAlign w:val="bottom"/>
            <w:tcBorders>
              <w:right w:val="single" w:sz="8" w:color="auto"/>
            </w:tcBorders>
          </w:tcPr>
          <w:p>
            <w:pPr>
              <w:ind w:left="100"/>
              <w:spacing w:after="0" w:line="103" w:lineRule="exact"/>
              <w:rPr>
                <w:sz w:val="20"/>
                <w:szCs w:val="20"/>
                <w:color w:val="auto"/>
              </w:rPr>
            </w:pPr>
            <w:r>
              <w:rPr>
                <w:rFonts w:ascii="Times New Roman" w:cs="Times New Roman" w:eastAsia="Times New Roman" w:hAnsi="Times New Roman"/>
                <w:sz w:val="11"/>
                <w:szCs w:val="11"/>
                <w:color w:val="auto"/>
              </w:rPr>
              <w:t>PT Premium Tin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CID000313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Indonesia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Daye Non-Ferrous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Daye Non-Ferrous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CID000343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 Mining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Metals Mining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DSC (Do Sung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DSC (Do Sung</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 Republic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CID000359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Corporation)</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Corporation)</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Dongguan Best</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Dongguan Best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CID000377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Alloys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Alloys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Dowa</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Dowa</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CID000401</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Dowa</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Dowa</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CID000402</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Eco-System</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Eco-System</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Recycling Co., Ltd.</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Recycling Co., Ltd.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CID000425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East Plant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East Plant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Bolivia</w:t>
            </w: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EM Vinto</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EM Vinto</w:t>
            </w:r>
          </w:p>
        </w:tc>
        <w:tc>
          <w:tcPr>
            <w:tcW w:w="13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(Plurinational State</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CID000438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Estanho de</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Estanho de Rondonia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CID000448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Rondonia S.A.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F&amp;X Electro-</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F&amp;X Electro-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CID000460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Materials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Materials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Fenix Metals</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Fenix Metals</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Poland</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CID000468</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JSC Novosibirsk</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JSC Novosibirsk</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CID000493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Refinery</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Refinery of</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Refinery of Seemine</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Seemine Gold Co.,</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CID000522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Gold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Gejiu Non-Ferrous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Gejiu Non-Ferrous</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Metal Processing</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Metal Processing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CID000538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Gejiu Zili Mining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Gejiu Zili Mining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And Metallurgy</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And Metallurgy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CID000555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Global Tungsten &amp;</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Global Tungsten &amp;</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CID000568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Powders LLC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Powders LLC</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XIMEI</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XIMEI RESOURCES</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RESOURCES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(GUANGDONG)</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(GUANGDONG)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CID000616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LIMITED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LIMITED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Guoda Safina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Guoda Safina High-</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High-Tech</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Environmental</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Tech Environmental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CID000651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Refinery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Hangzhou</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Hangzhou</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Fuchunjiang</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Fuchunjiang Smelting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CID000671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Smelting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LT Metal Ltd.</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LT Metal Ltd.</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 Republic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CID000689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Heimerle + Meule</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Heimerle + Meule</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CID000694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GmbH</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GmbH</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Heraeus Metals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Heraeus Metals Hong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Hong Kong</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CID000707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Hong Kong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Kong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Heraeus Germany</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Heraeus Germany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CID000711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GmbH Co. KG</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GmbH Co. KG</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Hunan Chenzhou</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Hunan Chenzhou</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CID000767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Mining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Mining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Hunan Jintai New</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Hunan Jintai New</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CID000769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Material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Material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Hunan Guiyang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Hunan Guiyang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yinxing Nonferrous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yinxing Nonferrous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CID000773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Smelting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Smelting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HwaSeong CJ CO.,</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HwaSeong CJ CO.,</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 Republic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CID000778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12" w:name="page13"/>
    <w:bookmarkEnd w:id="12"/>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Inner Mongolia</w:t>
            </w:r>
          </w:p>
        </w:tc>
        <w:tc>
          <w:tcPr>
            <w:tcW w:w="1520" w:type="dxa"/>
            <w:vAlign w:val="bottom"/>
            <w:tcBorders>
              <w:right w:val="single" w:sz="8" w:color="auto"/>
            </w:tcBorders>
          </w:tcPr>
          <w:p>
            <w:pPr>
              <w:ind w:left="100"/>
              <w:spacing w:after="0" w:line="104" w:lineRule="exact"/>
              <w:rPr>
                <w:sz w:val="20"/>
                <w:szCs w:val="20"/>
                <w:color w:val="auto"/>
              </w:rPr>
            </w:pPr>
            <w:r>
              <w:rPr>
                <w:rFonts w:ascii="Times New Roman" w:cs="Times New Roman" w:eastAsia="Times New Roman" w:hAnsi="Times New Roman"/>
                <w:sz w:val="12"/>
                <w:szCs w:val="12"/>
                <w:color w:val="auto"/>
              </w:rPr>
              <w:t>Inner Mongolia</w:t>
            </w:r>
          </w:p>
        </w:tc>
        <w:tc>
          <w:tcPr>
            <w:tcW w:w="13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Qiankun Gold and</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Qiankun Gold and</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Silver Refinery</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Silver Refinery Share</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CID000801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Share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color w:val="auto"/>
              </w:rPr>
              <w:t>Ishifuku Metal</w:t>
            </w:r>
          </w:p>
        </w:tc>
        <w:tc>
          <w:tcPr>
            <w:tcW w:w="1520" w:type="dxa"/>
            <w:vAlign w:val="bottom"/>
            <w:tcBorders>
              <w:right w:val="single" w:sz="8" w:color="auto"/>
            </w:tcBorders>
          </w:tcPr>
          <w:p>
            <w:pPr>
              <w:ind w:left="100"/>
              <w:spacing w:after="0" w:line="103" w:lineRule="exact"/>
              <w:rPr>
                <w:sz w:val="20"/>
                <w:szCs w:val="20"/>
                <w:color w:val="auto"/>
              </w:rPr>
            </w:pPr>
            <w:r>
              <w:rPr>
                <w:rFonts w:ascii="Times New Roman" w:cs="Times New Roman" w:eastAsia="Times New Roman" w:hAnsi="Times New Roman"/>
                <w:sz w:val="11"/>
                <w:szCs w:val="11"/>
                <w:color w:val="auto"/>
              </w:rPr>
              <w:t>Ishifuku Metal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CID000807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Industry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Industry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Istanbul Gold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Istanbul Gold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Turkey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CID000814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Refinery</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Japan Mint</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Japan Mint</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CID000823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Japan New Metals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Japan New Metals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CID000825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Jiangxi Copper</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Jiangxi Copper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CID000855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JiuJiang JinXin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JiuJiang JinXin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Nonferrous Metals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Nonferrous Metals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CID000914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Jiujiang Tanbre</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Jiujiang Tanbre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CID000917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Asahi Refining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Asahi Refining USA</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CID000920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USA Inc.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Asahi Refining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Asahi Refining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Canada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CID000924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Canada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Canada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JSC Ekaterinburg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JSC Ekaterinburg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Non-Ferrous Metal</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Non-Ferrous Metal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CID000927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Processing Plant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Processing Plant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JSC</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JSC Uralelectromed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CID000929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Uralelectromed</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JX Nippon Mining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JX Nippon Mining &amp;</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CID000937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&amp; Metals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Metals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Gejiu Kai Meng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Gejiu Kai Meng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Industry and Trade</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Industry and Trade</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CID000942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LLC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LLC</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Kazakhmys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Kazakhmys Smelting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Kazakhstan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CID000956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Smelting LLC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LLC</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Kazzinc</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Kazzinc</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Kazakhstan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CID000957</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Kennametal Fallon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Kennametal Fallon</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CID000966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Kennecott Utah</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Kennecott Utah</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CID000969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Copper LLC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Copper LLC</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Kojima Chemicals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Kojima Chemicals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CID000981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Kyrgyzaltyn JSC</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Kyrgyzaltyn JSC</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Kyrgyzstan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CID001029</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L'azurde Company</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L'azurde Company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SAUDI ARABIA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CID001032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 Jewelry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For Jewelry</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Lingbao Gold Co.,</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Lingbao Gold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CID001056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Lingbao Jinyuan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Lingbao Jinyuan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Tonghui Refinery</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Tonghui Refinery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CID001058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China Tin Group</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China Tin Group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CID001070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AMG Brasil</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AMG Brasil</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CID001076</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LS MnM Inc.</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LS MnM Inc.</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 Republic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CID001078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Luoyang Zijin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Luoyang Zijin Yinhui</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Yinhui Gold</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Gold Refinery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CID001093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Malaysia Smelting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Malaysia Smelting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MALAYSIA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CID001105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Corporation (MSC)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Corporation (MSC)</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Materion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Materion</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CID001113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Matsuda Sangyo</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Matsuda Sangyo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CID001119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13" w:name="page14"/>
    <w:bookmarkEnd w:id="13"/>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Metallic Resources,</w:t>
            </w:r>
          </w:p>
        </w:tc>
        <w:tc>
          <w:tcPr>
            <w:tcW w:w="1520" w:type="dxa"/>
            <w:vAlign w:val="bottom"/>
            <w:tcBorders>
              <w:right w:val="single" w:sz="8" w:color="auto"/>
            </w:tcBorders>
          </w:tcPr>
          <w:p>
            <w:pPr>
              <w:ind w:left="100"/>
              <w:spacing w:after="0" w:line="104" w:lineRule="exact"/>
              <w:rPr>
                <w:sz w:val="20"/>
                <w:szCs w:val="20"/>
                <w:color w:val="auto"/>
              </w:rPr>
            </w:pPr>
            <w:r>
              <w:rPr>
                <w:rFonts w:ascii="Times New Roman" w:cs="Times New Roman" w:eastAsia="Times New Roman" w:hAnsi="Times New Roman"/>
                <w:sz w:val="12"/>
                <w:szCs w:val="12"/>
                <w:color w:val="auto"/>
              </w:rPr>
              <w:t>Metallic Resources,</w:t>
            </w:r>
          </w:p>
        </w:tc>
        <w:tc>
          <w:tcPr>
            <w:tcW w:w="1340" w:type="dxa"/>
            <w:vAlign w:val="bottom"/>
            <w:tcBorders>
              <w:right w:val="single" w:sz="8" w:color="auto"/>
            </w:tcBorders>
          </w:tcPr>
          <w:p>
            <w:pPr>
              <w:ind w:left="100"/>
              <w:spacing w:after="0" w:line="104" w:lineRule="exact"/>
              <w:rPr>
                <w:sz w:val="20"/>
                <w:szCs w:val="20"/>
                <w:color w:val="auto"/>
              </w:rPr>
            </w:pPr>
            <w:r>
              <w:rPr>
                <w:rFonts w:ascii="Times New Roman" w:cs="Times New Roman" w:eastAsia="Times New Roman" w:hAnsi="Times New Roman"/>
                <w:sz w:val="12"/>
                <w:szCs w:val="12"/>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CID001142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color w:val="auto"/>
              </w:rPr>
              <w:t>Metalor</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Metalor Technologies</w:t>
            </w:r>
          </w:p>
        </w:tc>
        <w:tc>
          <w:tcPr>
            <w:tcW w:w="13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Technologies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CID001147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(Suzhou)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(Suzhou)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Metalor</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Metalor Technologies</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Technologies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CID001149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(Hong Kong)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(Hong Kong)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Metalor</w:t>
            </w:r>
          </w:p>
        </w:tc>
        <w:tc>
          <w:tcPr>
            <w:tcW w:w="15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Technologies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Metalor Technologies</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(Singapore) Pte.,</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Singapore</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CID001152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(Singapore) Pte.,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Metalor</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Metalor Technologies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CID001153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Technologies S.A.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Metalor USA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Metalor USA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United States Of</w:t>
            </w: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Refining</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CID001157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Corporation</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Refining Corporation</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Metalurgica Met-</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Metalurgica Met-Mex</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Mex Penoles S.A.</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Mexico</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CID001161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De C.V.</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Penoles S.A. De C.V.</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Metallurgical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Metallurgical</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Products India Pvt.,</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Products India Pvt.,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CID001163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Mineracao Taboca</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Mineracao Taboca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CID001173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Mineracao Taboca</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Mineracao Taboca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CID001175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Minsur</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Minsur</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Peru</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CID001182</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Mitsubishi</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Mitsubishi Materials</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CID001188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Corporation</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Corporation</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Mitsubishi</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Mitsubishi Materials</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CID001191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Corporation</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Corporation</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Mitsui Mining and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Mitsui Mining and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CID001192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Smelting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Smelting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Mitsui Mining and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Mitsui Mining and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CID001193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Smelting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Smelting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NPM Silmet AS</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NPM Silmet AS</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Estonia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CID001200</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Moscow Special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Moscow Special</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Alloys Processing</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Alloys Processing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CID001204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Plant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Plant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Nadir Metal</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Nadir Metal Rafineri</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Rafineri San. Ve</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Turkey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CID001220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Tic. A.S.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San. Ve Tic. A.S.</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Jiangxi New</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Jiangxi New Nanshan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Nanshan</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CID001231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Technology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Technology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Navoi Mining and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Navoi Mining and</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Metallurgical</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Metallurgical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Uzbekistan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CID001236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Combinat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Combinat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Nihon Material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Nihon Material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CID001259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Ningxia Orient</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Ningxia Orient</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Tantalum Industry</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Tantalum Industry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CID001277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Novosibirsk Tin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Novosibirsk Tin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CID001305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Combine</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Combine</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O.M.</w:t>
            </w:r>
          </w:p>
        </w:tc>
        <w:tc>
          <w:tcPr>
            <w:tcW w:w="15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O.M. Manufacturing</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(Thailand) Co.,</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Thailand</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CID001314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(Thailand)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14" w:name="page15"/>
    <w:bookmarkEnd w:id="14"/>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Ohura Precious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Ohura Precious Metal</w:t>
            </w:r>
          </w:p>
        </w:tc>
        <w:tc>
          <w:tcPr>
            <w:tcW w:w="13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Metal Industry Co.,</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CID001325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Industry Co., Ltd.</w:t>
            </w: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color w:val="auto"/>
              </w:rPr>
              <w:t>OJSC "The</w:t>
            </w:r>
          </w:p>
        </w:tc>
        <w:tc>
          <w:tcPr>
            <w:tcW w:w="152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Gulidov</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OJSC "The Gulidov</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Krasnoyarsk Non-</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Ferrous Metals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Krasnoyarsk Non-</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Plant" (OJSC</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Ferrous Metals Plant"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CID001326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Krastsvetmet)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(OJSC Krastsvetmet)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Operaciones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Operaciones</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Bolivia</w:t>
            </w: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(Plurinational State</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CID001337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Metalurgicas S.A.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Metalurgicas S.A.</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MKS PAMP SA</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MKS PAMP SA</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CID001352</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Penglai Penggang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Penglai Penggang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Gold Industry Co.,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Gold Industry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CID001362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Prioksky Plant of</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Prioksky Plant of</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Non-Ferrous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CID001386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Non-Ferrous Metals</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Aneka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PT Aneka Tambang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Tambang (Persero)</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CID001397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Tbk</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(Persero) Tbk</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Artha Cipta</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PT Artha Cipta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CID001399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Langgeng</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Langgeng</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Mitra Stania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PT Mitra Stania Prima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CID001453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Prima</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Prima Timah</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PT Prima Timah</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CID001458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Utama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Utama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Timah Tbk</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PT Timah Tbk</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CID001477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Kundur</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Kundur</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Timah Tbk</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PT Timah Tbk</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CID001482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Mentok</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Mentok</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PX Precinox S.A.</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PX Precinox S.A.</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CID001498</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Rand Refinery</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Rand Refinery (Pty)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South Africa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CID001512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(Pty)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Yanling Jincheng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Yanling Jincheng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Tantalum &amp;</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Tantalum &amp; Niobium</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CID001522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Niobium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Royal Canadian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Royal Canadian Mint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Canada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CID001534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Mint</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Royal Canadian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Royal Canadian Mint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CANADA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CID001534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Mint</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Rui Da Hung</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Rui Da Hung</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Taiwan, Province</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CID001539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 China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Sabin Metal Corp.</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Sabin Metal Corp.</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CID001546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Samduck Precious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Samduck Precious</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 Republic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CID001555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Metals</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Samwon Metals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Samwon Metals Corp.</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 Republic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CID001562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Corp.</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Schone Edelmetaal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Schone Edelmetaal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NETHERLANDS</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CID001573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B.V.</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B.V.</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SEMPSA Joyeria</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SEMPSA Joyeria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Spain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CID001585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Plateria S.A.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Plateria S.A.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Shandong</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Shandong Tiancheng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Tiancheng</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Biological Gold</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Biological Gold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CID001619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Industrial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Industrial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Shandong Zhaojin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Shandong Zhaojin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Gold &amp; Silver</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Gold &amp; Silver</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CID001622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Refinery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Sichuan Tianze</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Sichuan Tianze</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Precious Metals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Precious Metals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CID001736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15" w:name="page16"/>
    <w:bookmarkEnd w:id="15"/>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SOE Shyolkovsky</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SOE Shyolkovsky</w:t>
            </w:r>
          </w:p>
        </w:tc>
        <w:tc>
          <w:tcPr>
            <w:tcW w:w="13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Factory of</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Secondary Precious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Factory of Secondary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CID001756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Precious Metals</w:t>
            </w: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color w:val="auto"/>
              </w:rPr>
              <w:t>Solar Applied</w:t>
            </w:r>
          </w:p>
        </w:tc>
        <w:tc>
          <w:tcPr>
            <w:tcW w:w="1520" w:type="dxa"/>
            <w:vAlign w:val="bottom"/>
            <w:tcBorders>
              <w:right w:val="single" w:sz="8" w:color="auto"/>
            </w:tcBorders>
          </w:tcPr>
          <w:p>
            <w:pPr>
              <w:ind w:left="100"/>
              <w:spacing w:after="0" w:line="103" w:lineRule="exact"/>
              <w:rPr>
                <w:sz w:val="20"/>
                <w:szCs w:val="20"/>
                <w:color w:val="auto"/>
              </w:rPr>
            </w:pPr>
            <w:r>
              <w:rPr>
                <w:rFonts w:ascii="Times New Roman" w:cs="Times New Roman" w:eastAsia="Times New Roman" w:hAnsi="Times New Roman"/>
                <w:sz w:val="11"/>
                <w:szCs w:val="11"/>
                <w:color w:val="auto"/>
              </w:rPr>
              <w:t>Solar Applied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Taiwan, Province</w:t>
            </w:r>
          </w:p>
        </w:tc>
        <w:tc>
          <w:tcPr>
            <w:tcW w:w="114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Materials Technology</w:t>
            </w:r>
          </w:p>
        </w:tc>
        <w:tc>
          <w:tcPr>
            <w:tcW w:w="13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CID001761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Technology Corp.</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Corp.</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 China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Solikamsk</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Solikamsk</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Magnesium Works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Magnesium Works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CID001769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OAO</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OAO</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Sumitomo Metal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Sumitomo Metal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CID001798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Mining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Mining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Super Dragon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Super Dragon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Taiwan, Province</w:t>
            </w: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Technology Co.,</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CID001810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Technology Co., Ltd.</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 China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Taki Chemical Co.,</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Taki Chemical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CID001869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Tanaka Kikinzoku</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Tanaka Kikinzoku</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CID001875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Kogyo K.K.</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Kogyo K.K.</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Telex Metals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Telex Metals</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CID001891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Thaisarco</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Thaisarco</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Thailand</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CID001898</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Gejiu Yunxin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Gejiu Yunxin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Nonferrous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Electrolysis Co.,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Nonferrous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CID001908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Electrolysis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Great Wall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Great Wall Precious</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Precious Metals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Metals Co., Ltd. of</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CID001909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 of CBPM</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CBPM</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Shandong Gold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Shandong Gold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CID001916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Smelting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Smelting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Tokuriki Honten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Tokuriki Honten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CID001938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Tongling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Tongling Nonferrous</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Nonferrous Metals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Metals Group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CID001947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Group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Torecom</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Torecom</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 Republic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CID001955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Ulba Metallurgical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Ulba Metallurgical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Kazakhstan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CID001969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Plant JSC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Plant JSC</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Umicore S.A.</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Umicore S.A.</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Business Unit</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Business Unit</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Precious Metals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Precious Metals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Belgium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CID001980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Refining</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Refining</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United Precious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United Precious Metal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United States Of</w:t>
            </w: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Metal Refining,</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CID001993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Refining, Inc.</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Valcambi S.A.</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Valcambi S.A.</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Switzerland</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CID002003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VQB Mineral and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VQB Mineral and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CID002015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Trading Group JSC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Trading Group JSC</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Western Australian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Western Australian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Mint (T/a The</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Mint (T/a The Perth</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Australia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CID002030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Perth Mint)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Mint)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White Solder</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White Solder</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Metalurgia e</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Metalurgia e</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CID002036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Mineracao Ltda.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Mineracao Ltda.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Wolfram Bergbau</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Wolfram Bergbau und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Austria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CID002044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und Hutten AG</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Hutten AG</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Xiamen Tungsten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Xiamen Tungsten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CID002082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Yamakin Co., Ltd.</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Yamakin Co., Ltd.</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CID002100</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Yokohama Metal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Yokohama Metal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CID002129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16" w:name="page17"/>
    <w:bookmarkEnd w:id="16"/>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Yunnan Chengfeng</w:t>
            </w:r>
          </w:p>
        </w:tc>
        <w:tc>
          <w:tcPr>
            <w:tcW w:w="1520" w:type="dxa"/>
            <w:vAlign w:val="bottom"/>
            <w:tcBorders>
              <w:right w:val="single" w:sz="8" w:color="auto"/>
            </w:tcBorders>
          </w:tcPr>
          <w:p>
            <w:pPr>
              <w:ind w:left="100"/>
              <w:spacing w:after="0" w:line="104" w:lineRule="exact"/>
              <w:rPr>
                <w:sz w:val="20"/>
                <w:szCs w:val="20"/>
                <w:color w:val="auto"/>
              </w:rPr>
            </w:pPr>
            <w:r>
              <w:rPr>
                <w:rFonts w:ascii="Times New Roman" w:cs="Times New Roman" w:eastAsia="Times New Roman" w:hAnsi="Times New Roman"/>
                <w:sz w:val="12"/>
                <w:szCs w:val="12"/>
                <w:color w:val="auto"/>
              </w:rPr>
              <w:t>Yunnan Chengfeng</w:t>
            </w:r>
          </w:p>
        </w:tc>
        <w:tc>
          <w:tcPr>
            <w:tcW w:w="13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Non-ferrous Metals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Non-ferrous Metals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CID002158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color w:val="auto"/>
              </w:rPr>
              <w:t>Tin Smelting</w:t>
            </w:r>
          </w:p>
        </w:tc>
        <w:tc>
          <w:tcPr>
            <w:tcW w:w="1520" w:type="dxa"/>
            <w:vAlign w:val="bottom"/>
            <w:tcBorders>
              <w:right w:val="single" w:sz="8" w:color="auto"/>
            </w:tcBorders>
          </w:tcPr>
          <w:p>
            <w:pPr>
              <w:ind w:left="100"/>
              <w:spacing w:after="0" w:line="103" w:lineRule="exact"/>
              <w:rPr>
                <w:sz w:val="20"/>
                <w:szCs w:val="20"/>
                <w:color w:val="auto"/>
              </w:rPr>
            </w:pPr>
            <w:r>
              <w:rPr>
                <w:rFonts w:ascii="Times New Roman" w:cs="Times New Roman" w:eastAsia="Times New Roman" w:hAnsi="Times New Roman"/>
                <w:sz w:val="11"/>
                <w:szCs w:val="11"/>
                <w:color w:val="auto"/>
              </w:rPr>
              <w:t>Tin Smelting Branch</w:t>
            </w:r>
          </w:p>
        </w:tc>
        <w:tc>
          <w:tcPr>
            <w:tcW w:w="13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Branch of Yunnan</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of Yunnan Tin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CID002180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Tin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Zhongyuan Gold</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Zhongyuan Gold</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Smelter of</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Zhongjin Gold</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Smelter of Zhongjin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CID002224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Corporation</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Gold Corporation</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Gold Refinery of</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Gold Refinery of Zijin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Zijin Mining Group</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Mining Group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CID002243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Morris and Watson</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Morris and Watson</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New Zealand</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CID002282</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SAFINA A.S.</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SAFINA A.S.</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Czechia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CID002290</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Guangdong Jinding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Guangdong Jinding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CID002312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Gold Limited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Gold Limited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Jiangxi Minmetals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Jiangxi Minmetals</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Gao'an Non-ferrous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Gao'an Non-ferrous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CID002313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Metals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Umicore Precious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Umicore Precious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Thailand</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CID002314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 Thailand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Metals Thailand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Ganzhou Jiangwu</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Ganzhou Jiangwu</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Ferrotungsten Co.,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Ferrotungsten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CID002315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Jiangxi Yaosheng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Jiangxi Yaosheng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CID002316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Tungsten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Tungsten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Jiangxi Xinsheng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Jiangxi Xinsheng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Tungsten Industry</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Tungsten Industry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CID002317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Jiangxi Tonggu</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Jiangxi Tonggu Non-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Non-ferrous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Metallurgical &amp;</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ferrous Metallurgical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CID002318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Chemical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&amp; Chemical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Malipo Haiyu</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Malipo Haiyu</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CID002319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Tungsten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Tungsten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Xiamen Tungsten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Xiamen Tungsten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CID002320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(H.C.)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(H.C.)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Jiangxi Gan Bei</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Jiangxi Gan Bei</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CID002321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Tungsten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Tungsten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Magnu's Minerais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Magnu's Minerais</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Metais e Ligas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CID002468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Metais e Ligas Ltda.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Hengyang King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Hengyang King Xing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Xing Lifeng New</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Lifeng New Materials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CID002492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Materials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Ganzhou</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Ganzhou Seadragon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Seadragon W &amp;</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CID002494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Mo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 &amp; Mo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Melt Metais e</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Melt Metais e Ligas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CID002500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Ligas S.A.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Asia Tungsten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Asia Tungsten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Products Vietnam</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Products Vietnam</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CID002502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ATD Makmur</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PT ATD Makmur</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CID002503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Mandiri Jaya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Mandiri Jaya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D Block Metals,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D Block Metals, LLC</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CID002504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LLC</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FIR Metals &amp;</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FIR Metals &amp;</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CID002505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Resource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Resource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Jiujiang Zhongao</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Jiujiang Zhongao</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Tantalum &amp;</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Tantalum &amp; Niobium</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CID002506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Niobium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17" w:name="page18"/>
    <w:bookmarkEnd w:id="17"/>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XinXing HaoRong</w:t>
            </w:r>
          </w:p>
        </w:tc>
        <w:tc>
          <w:tcPr>
            <w:tcW w:w="1520" w:type="dxa"/>
            <w:vAlign w:val="bottom"/>
            <w:tcBorders>
              <w:right w:val="single" w:sz="8" w:color="auto"/>
            </w:tcBorders>
          </w:tcPr>
          <w:p>
            <w:pPr>
              <w:ind w:left="100"/>
              <w:spacing w:after="0" w:line="104" w:lineRule="exact"/>
              <w:rPr>
                <w:sz w:val="20"/>
                <w:szCs w:val="20"/>
                <w:color w:val="auto"/>
              </w:rPr>
            </w:pPr>
            <w:r>
              <w:rPr>
                <w:rFonts w:ascii="Times New Roman" w:cs="Times New Roman" w:eastAsia="Times New Roman" w:hAnsi="Times New Roman"/>
                <w:sz w:val="12"/>
                <w:szCs w:val="12"/>
                <w:color w:val="auto"/>
              </w:rPr>
              <w:t>XinXing HaoRong</w:t>
            </w:r>
          </w:p>
        </w:tc>
        <w:tc>
          <w:tcPr>
            <w:tcW w:w="13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Electronic Material</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Electronic Material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CID002508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color w:val="auto"/>
              </w:rPr>
              <w:t>MMTC-PAMP</w:t>
            </w:r>
          </w:p>
        </w:tc>
        <w:tc>
          <w:tcPr>
            <w:tcW w:w="1520" w:type="dxa"/>
            <w:vAlign w:val="bottom"/>
            <w:tcBorders>
              <w:right w:val="single" w:sz="8" w:color="auto"/>
            </w:tcBorders>
          </w:tcPr>
          <w:p>
            <w:pPr>
              <w:ind w:left="100"/>
              <w:spacing w:after="0" w:line="103" w:lineRule="exact"/>
              <w:rPr>
                <w:sz w:val="20"/>
                <w:szCs w:val="20"/>
                <w:color w:val="auto"/>
              </w:rPr>
            </w:pPr>
            <w:r>
              <w:rPr>
                <w:rFonts w:ascii="Times New Roman" w:cs="Times New Roman" w:eastAsia="Times New Roman" w:hAnsi="Times New Roman"/>
                <w:sz w:val="11"/>
                <w:szCs w:val="11"/>
                <w:color w:val="auto"/>
              </w:rPr>
              <w:t>MMTC-PAMP India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CID002509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India Pvt.,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Pvt.,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KGHM Polska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KGHM Polska Miedz</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Miedz Spolka</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Poland</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CID002511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Akcyjna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Spolka Akcyjna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Jiangxi Dinghai</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Jiangxi Dinghai</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Tantalum &amp;</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Tantalum &amp; Niobium</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CID002512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Niobium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Hunan Shizhuyuan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Hunan Shizhuyuan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Nonferrous Metals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Nonferrous Metals</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Co., Ltd. Chenzhou</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 Ltd. Chenzhou</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Tungsten Products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Tungsten Products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CID002513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Branch</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Branch</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Fidelity Printers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Fidelity Printers and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Zimbabwe</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CID002515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and Refiners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Refiners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Singway</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Singway Technology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Taiwan, Province</w:t>
            </w: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Technology Co.,</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CID002516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 China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O.M.</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O.M. Manufacturing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Philippines</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CID002517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Philippines, Inc.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Philippines, Inc.</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Shandong Humon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Shandong Humon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CID002525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Smelting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Smelting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Shenzhen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Shenzhen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Zhonghenglong</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Real Industry Co.,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Zhonghenglong Real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CID002527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Industry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KEMET de Mexico</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KEMET de Mexico</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Mexico</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CID002539</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H.C. Starck</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H.C. Starck Tungsten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CID002541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Tungsten GmbH</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GmbH</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TANIOBIS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TANIOBIS Smelting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Smelting GmbH &amp;</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CID002542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KG</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GmbH &amp; Co. KG</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Masan High-Tech</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Masan High-Tech</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CID002543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Materials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Materials</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TANIOBIS Co.,</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TANIOBIS Co., Ltd.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Thailand</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CID002544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TANIOBIS GmbH</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TANIOBIS GmbH</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CID002545</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Materion Newton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Materion Newton Inc.</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CID002548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Inc.</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TANIOBIS Japan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TANIOBIS Japan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CID002549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TANIOBIS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TANIOBIS Smelting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Smelting GmbH &amp;</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CID002550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KG</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GmbH &amp; Co. KG</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Jiangwu H.C.</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Jiangwu H.C. Starck</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Starck Tungsten</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Tungsten Products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CID002551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Products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Global Advanced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Global Advanced</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CID002557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 Boyertown</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Metals Boyertown</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Global Advanced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Global Advanced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CID002558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 Aizu</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Metals Aizu</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Al Etihad Gold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Al Etihad Gold</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Arab</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CID002560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 DMCC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Refinery DMCC</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Emirates</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Emirates Gold</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Emirates Gold DMCC</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Arab</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CID002561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DMCC</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Emirates</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International</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International Precious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United Arab</w:t>
            </w: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Precious Metal</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CID002562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 Refiners</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Emirates</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Kaloti Precious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Kaloti Precious</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ARAB</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CID002563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Metals</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EMIRATES</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18" w:name="page19"/>
    <w:bookmarkEnd w:id="18"/>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Sudan Gold</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Sudan Gold Refinery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SUDAN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CID002567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w:t>
            </w:r>
          </w:p>
        </w:tc>
        <w:tc>
          <w:tcPr>
            <w:tcW w:w="1520" w:type="dxa"/>
            <w:vAlign w:val="bottom"/>
            <w:tcBorders>
              <w:bottom w:val="single" w:sz="8" w:color="auto"/>
              <w:right w:val="single" w:sz="8" w:color="auto"/>
            </w:tcBorders>
            <w:vMerge w:val="continue"/>
          </w:tcPr>
          <w:p>
            <w:pPr>
              <w:spacing w:after="0"/>
              <w:rPr>
                <w:sz w:val="16"/>
                <w:szCs w:val="16"/>
                <w:color w:val="auto"/>
              </w:rPr>
            </w:pP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960" w:type="dxa"/>
            <w:vAlign w:val="bottom"/>
            <w:tcBorders>
              <w:left w:val="single" w:sz="8" w:color="auto"/>
              <w:bottom w:val="single" w:sz="8" w:color="auto"/>
              <w:right w:val="single" w:sz="8" w:color="auto"/>
            </w:tcBorders>
          </w:tcPr>
          <w:p>
            <w:pPr>
              <w:ind w:left="120"/>
              <w:spacing w:after="0" w:line="125" w:lineRule="exact"/>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bottom w:val="single" w:sz="8" w:color="auto"/>
              <w:right w:val="single" w:sz="8" w:color="auto"/>
            </w:tcBorders>
          </w:tcPr>
          <w:p>
            <w:pPr>
              <w:ind w:left="80"/>
              <w:spacing w:after="0" w:line="125" w:lineRule="exact"/>
              <w:rPr>
                <w:sz w:val="20"/>
                <w:szCs w:val="20"/>
                <w:color w:val="auto"/>
              </w:rPr>
            </w:pPr>
            <w:r>
              <w:rPr>
                <w:rFonts w:ascii="Times New Roman" w:cs="Times New Roman" w:eastAsia="Times New Roman" w:hAnsi="Times New Roman"/>
                <w:sz w:val="14"/>
                <w:szCs w:val="14"/>
                <w:color w:val="auto"/>
              </w:rPr>
              <w:t>CV Ayi Jaya</w:t>
            </w:r>
          </w:p>
        </w:tc>
        <w:tc>
          <w:tcPr>
            <w:tcW w:w="152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CV Ayi Jaya</w:t>
            </w:r>
          </w:p>
        </w:tc>
        <w:tc>
          <w:tcPr>
            <w:tcW w:w="134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CID002570</w:t>
            </w:r>
          </w:p>
        </w:tc>
        <w:tc>
          <w:tcPr>
            <w:tcW w:w="118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Electro-Mechanical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Electro-Mechanical</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Facility of the Cao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Facility of the Cao</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Bang Minerals &amp;</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Bang Minerals &amp;</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Metallurgy Joint</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Metallurgy Joint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CID002572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Stock Company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Stock Company</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Nghe Tinh Non-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Nghe Tinh Non-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Ferrous Metals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Joint Stock</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Ferrous Metals Joint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CID002573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Company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Stock Company</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Tuyen Quang Non-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Tuyen Quang Non-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Ferrous Metals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Joint Stock</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Ferrous Metals Joint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CID002574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Company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Stock Company</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T.C.A S.p.A</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T.C.A S.p.A</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Italy</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CID002580</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REMONDIS PMR</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REMONDIS PMR</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Netherlands</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CID002582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B.V.</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B.V.</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Fujairah Gold FZC</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Fujairah Gold FZC</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Arab</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CID002584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Emirates</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Industrial Refining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Industrial Refining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BELGIUM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CID002587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Company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Company</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Shirpur Gold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Shirpur Gold Refinery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CID002588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Niagara Refining</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Niagara Refining LLC</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CID002589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LLC</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PT Rajehan Ariq</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PT Rajehan Ariq</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CID002593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Korea Zinc Co.,</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Korea Zinc Co., Ltd.</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 Republic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CID002605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Marsam Metals</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Marsam Metals</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CID002606</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TOO Tau-Ken-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TOO Tau-Ken-Altyn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Kazakhstan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CID002615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Altyn</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China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 Molybdenum</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Molybdenum</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CID002641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Tungsten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Tungsten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Hydrometallurg,</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Hydrometallurg, JSC</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CID002649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JSC</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Uzbek Refractory</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Uzbek Refractory and</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and Heat-Resistant</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Uzbekistan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CID002660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Heat-Resistant Metals</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Cipta Persada</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PT Cipta Persada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CID002696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Mulia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Mulia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An Vinh Joint</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An Vinh Joint Stock</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Mineral</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Processing</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Mineral Processing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CID002703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Company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Company</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Resind Industria e</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Resind Industria e</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CID002706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Comercio Ltda.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Comercio Ltda.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Resind Industria e</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Resind Industria e</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CID002707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Comercio Ltda.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Comercio Ltda.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Abington Reldan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Abington Reldan</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CID002708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 LLC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Metals, LLC</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Unecha Refractory</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Unecha Refractory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CID002724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 plant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metals plant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Shenzhen CuiLu</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Shenzhen CuiLu Gold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CID002750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Gold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Super Ligas</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Super Ligas</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CID002756</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Albino Mountinho</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Albino Mountinho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Portugal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CID002760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Lda.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Lda.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SAAMP</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SAAMP</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France</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CID002761</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L'Orfebre S.A.</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L'Orfebre S.A.</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Andorra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CID002762</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8853 S.p.A.</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8853 S.p.A.</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Italy</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CID002763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Italpreziosi</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Italpreziosi</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Italy</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CID002765</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19" w:name="page20"/>
    <w:bookmarkEnd w:id="19"/>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960" w:type="dxa"/>
            <w:vAlign w:val="bottom"/>
            <w:tcBorders>
              <w:left w:val="single" w:sz="8" w:color="auto"/>
              <w:bottom w:val="single" w:sz="8" w:color="auto"/>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bottom w:val="single" w:sz="8" w:color="auto"/>
              <w:right w:val="single" w:sz="8" w:color="auto"/>
            </w:tcBorders>
          </w:tcPr>
          <w:p>
            <w:pPr>
              <w:ind w:left="80"/>
              <w:spacing w:after="0" w:line="123" w:lineRule="exact"/>
              <w:rPr>
                <w:sz w:val="20"/>
                <w:szCs w:val="20"/>
                <w:color w:val="auto"/>
              </w:rPr>
            </w:pPr>
            <w:r>
              <w:rPr>
                <w:rFonts w:ascii="Times New Roman" w:cs="Times New Roman" w:eastAsia="Times New Roman" w:hAnsi="Times New Roman"/>
                <w:sz w:val="14"/>
                <w:szCs w:val="14"/>
                <w:color w:val="auto"/>
              </w:rPr>
              <w:t>Aurubis Beerse</w:t>
            </w:r>
          </w:p>
        </w:tc>
        <w:tc>
          <w:tcPr>
            <w:tcW w:w="1520" w:type="dxa"/>
            <w:vAlign w:val="bottom"/>
            <w:tcBorders>
              <w:bottom w:val="single" w:sz="8" w:color="auto"/>
              <w:right w:val="single" w:sz="8" w:color="auto"/>
            </w:tcBorders>
          </w:tcPr>
          <w:p>
            <w:pPr>
              <w:ind w:left="100"/>
              <w:spacing w:after="0" w:line="123" w:lineRule="exact"/>
              <w:rPr>
                <w:sz w:val="20"/>
                <w:szCs w:val="20"/>
                <w:color w:val="auto"/>
              </w:rPr>
            </w:pPr>
            <w:r>
              <w:rPr>
                <w:rFonts w:ascii="Times New Roman" w:cs="Times New Roman" w:eastAsia="Times New Roman" w:hAnsi="Times New Roman"/>
                <w:sz w:val="14"/>
                <w:szCs w:val="14"/>
                <w:color w:val="auto"/>
              </w:rPr>
              <w:t>Aurubis Beerse</w:t>
            </w:r>
          </w:p>
        </w:tc>
        <w:tc>
          <w:tcPr>
            <w:tcW w:w="1340" w:type="dxa"/>
            <w:vAlign w:val="bottom"/>
            <w:tcBorders>
              <w:bottom w:val="single" w:sz="8" w:color="auto"/>
              <w:right w:val="single" w:sz="8" w:color="auto"/>
            </w:tcBorders>
          </w:tcPr>
          <w:p>
            <w:pPr>
              <w:ind w:left="100"/>
              <w:spacing w:after="0" w:line="123" w:lineRule="exact"/>
              <w:rPr>
                <w:sz w:val="20"/>
                <w:szCs w:val="20"/>
                <w:color w:val="auto"/>
              </w:rPr>
            </w:pPr>
            <w:r>
              <w:rPr>
                <w:rFonts w:ascii="Times New Roman" w:cs="Times New Roman" w:eastAsia="Times New Roman" w:hAnsi="Times New Roman"/>
                <w:sz w:val="14"/>
                <w:szCs w:val="14"/>
                <w:color w:val="auto"/>
              </w:rPr>
              <w:t>Belgium</w:t>
            </w:r>
          </w:p>
        </w:tc>
        <w:tc>
          <w:tcPr>
            <w:tcW w:w="1140" w:type="dxa"/>
            <w:vAlign w:val="bottom"/>
            <w:tcBorders>
              <w:bottom w:val="single" w:sz="8" w:color="auto"/>
              <w:right w:val="single" w:sz="8" w:color="auto"/>
            </w:tcBorders>
          </w:tcPr>
          <w:p>
            <w:pPr>
              <w:ind w:left="100"/>
              <w:spacing w:after="0" w:line="123" w:lineRule="exact"/>
              <w:rPr>
                <w:sz w:val="20"/>
                <w:szCs w:val="20"/>
                <w:color w:val="auto"/>
              </w:rPr>
            </w:pPr>
            <w:r>
              <w:rPr>
                <w:rFonts w:ascii="Times New Roman" w:cs="Times New Roman" w:eastAsia="Times New Roman" w:hAnsi="Times New Roman"/>
                <w:sz w:val="14"/>
                <w:szCs w:val="14"/>
                <w:color w:val="auto"/>
              </w:rPr>
              <w:t>CID002773</w:t>
            </w:r>
          </w:p>
        </w:tc>
        <w:tc>
          <w:tcPr>
            <w:tcW w:w="1180" w:type="dxa"/>
            <w:vAlign w:val="bottom"/>
            <w:tcBorders>
              <w:bottom w:val="single" w:sz="8" w:color="auto"/>
              <w:right w:val="single" w:sz="8" w:color="auto"/>
            </w:tcBorders>
          </w:tcPr>
          <w:p>
            <w:pPr>
              <w:ind w:left="100"/>
              <w:spacing w:after="0" w:line="123"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23"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25"/>
        </w:trPr>
        <w:tc>
          <w:tcPr>
            <w:tcW w:w="960" w:type="dxa"/>
            <w:vAlign w:val="bottom"/>
            <w:tcBorders>
              <w:left w:val="single" w:sz="8" w:color="auto"/>
              <w:bottom w:val="single" w:sz="8" w:color="auto"/>
              <w:right w:val="single" w:sz="8" w:color="auto"/>
            </w:tcBorders>
          </w:tcPr>
          <w:p>
            <w:pPr>
              <w:ind w:left="120"/>
              <w:spacing w:after="0" w:line="125" w:lineRule="exact"/>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bottom w:val="single" w:sz="8" w:color="auto"/>
              <w:right w:val="single" w:sz="8" w:color="auto"/>
            </w:tcBorders>
          </w:tcPr>
          <w:p>
            <w:pPr>
              <w:ind w:left="80"/>
              <w:spacing w:after="0" w:line="125" w:lineRule="exact"/>
              <w:rPr>
                <w:sz w:val="20"/>
                <w:szCs w:val="20"/>
                <w:color w:val="auto"/>
              </w:rPr>
            </w:pPr>
            <w:r>
              <w:rPr>
                <w:rFonts w:ascii="Times New Roman" w:cs="Times New Roman" w:eastAsia="Times New Roman" w:hAnsi="Times New Roman"/>
                <w:sz w:val="14"/>
                <w:szCs w:val="14"/>
                <w:color w:val="auto"/>
              </w:rPr>
              <w:t>Aurubis Berango</w:t>
            </w:r>
          </w:p>
        </w:tc>
        <w:tc>
          <w:tcPr>
            <w:tcW w:w="152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Aurubis Berango</w:t>
            </w:r>
          </w:p>
        </w:tc>
        <w:tc>
          <w:tcPr>
            <w:tcW w:w="134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Spain</w:t>
            </w:r>
          </w:p>
        </w:tc>
        <w:tc>
          <w:tcPr>
            <w:tcW w:w="114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CID002774</w:t>
            </w:r>
          </w:p>
        </w:tc>
        <w:tc>
          <w:tcPr>
            <w:tcW w:w="118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Bangka Prima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PT Bangka Prima Tin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CID002776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Tin</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WIELAND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WIELAND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CID002778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Edelmetalle GmbH</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Edelmetalle GmbH</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Ogussa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Ogussa</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Osterreichische</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Gold- und Silber-</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Osterreichische Gold-</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Scheideanstalt</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und Silber-</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Austria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CID002779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GmbH</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Scheideanstalt GmbH</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Philippine</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Philippine Chuangxin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Chuangxin</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PHILIPPINES</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CID002827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Industrial Co., Inc.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Industrial Co., Inc.</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ACL Metais Eireli</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ACL Metais Eireli</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CID002833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Jiangxi Tuohong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Jiangxi Tuohong New</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CID002842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New Raw Material</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Raw Material</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HuiChang Hill Tin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HuiChang Hill Tin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CID002844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Industry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Industry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Moliren Ltd.</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Moliren Ltd.</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CID002845</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AU Traders and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AU Traders and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South Africa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CID002850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Refiners</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GGC Gujrat Gold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GGC Gujrat Gold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CID002852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Centre Pvt.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Centre Pvt.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Sai Refinery</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Sai Refinery</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CID002853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Modeltech Sdn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Modeltech Sdn Bhd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Malaysia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CID002857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Bhd</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Modeltech Sdn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Modeltech Sdn Bhd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Malaysia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CID002858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Bhd</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Bangalore Refinery</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Bangalore Refinery</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CID002863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Kyshtym Copper-</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Kyshtym Copper-</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Electrolytic Plant</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Electrolytic Plant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CID002865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ZAO</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ZAO</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Degussa Sonne /</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Degussa Sonne /</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Mond Goldhandel</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Mond Goldhandel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CID002867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GmbH</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GmbH</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Pease &amp; Curren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Pease &amp; Curren</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CID002872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JALAN &amp;</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JALAN &amp; Company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CID002893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Company</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SungEel HiMetal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SungEel HiMetal Co.,</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 Republic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CID002918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Planta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Planta Recuperadora</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Recuperadora de</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Chile</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CID002919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Metales SpA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de Metales SpA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ABC Refinery Pty</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ABC Refinery Pty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Australia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CID002920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Safimet S.p.A</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Safimet S.p.A</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Italy</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CID002973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Guangdong Hanhe</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Guangdong Hanhe</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Non-Ferrous Metal</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Non-Ferrous Metal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CID003116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State Research</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State Research</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Institute Center for</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Institute Center for</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Physical Sciences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Physical Sciences and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Lithuania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CID003153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and Technology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Technology</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African Gold</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African Gold Refinery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Uganda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CID003185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Gold Coast</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Gold Coast Refinery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Ghana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CID003186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NH Recytech</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NH Recytech</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 Republic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CID003189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Company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Company</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20" w:name="page21"/>
    <w:bookmarkEnd w:id="20"/>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Chifeng Dajingzi</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Chifeng Dajingzi Tin</w:t>
            </w:r>
          </w:p>
        </w:tc>
        <w:tc>
          <w:tcPr>
            <w:tcW w:w="13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Tin Industry Co.,</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CID003190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Industry Co., Ltd.</w:t>
            </w: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color w:val="auto"/>
              </w:rPr>
              <w:t>Pongpipat</w:t>
            </w:r>
          </w:p>
        </w:tc>
        <w:tc>
          <w:tcPr>
            <w:tcW w:w="1520" w:type="dxa"/>
            <w:vAlign w:val="bottom"/>
            <w:tcBorders>
              <w:right w:val="single" w:sz="8" w:color="auto"/>
            </w:tcBorders>
          </w:tcPr>
          <w:p>
            <w:pPr>
              <w:ind w:left="100"/>
              <w:spacing w:after="0" w:line="103" w:lineRule="exact"/>
              <w:rPr>
                <w:sz w:val="20"/>
                <w:szCs w:val="20"/>
                <w:color w:val="auto"/>
              </w:rPr>
            </w:pPr>
            <w:r>
              <w:rPr>
                <w:rFonts w:ascii="Times New Roman" w:cs="Times New Roman" w:eastAsia="Times New Roman" w:hAnsi="Times New Roman"/>
                <w:sz w:val="11"/>
                <w:szCs w:val="11"/>
                <w:color w:val="auto"/>
              </w:rPr>
              <w:t>Pongpipat Company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MYANMAR</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CID003208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Company Limited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Limited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QG Refining, LLC</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QG Refining, LLC</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CID003324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Tin Technology &amp;</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Tin Technology &amp;</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CID003325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Refining</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Refining</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Dijllah Gold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Dijllah Gold Refinery</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Arab</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CID003348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 FZC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FZC</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Emirates</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Atlantic Copper</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Atlantic Copper</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Spain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CID003350</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Dongguan</w:t>
            </w:r>
          </w:p>
        </w:tc>
        <w:tc>
          <w:tcPr>
            <w:tcW w:w="15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CiEXPO</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Dongguan CiEXPO</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Environmental</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Engineering Co.,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Environmental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CID003356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Engineering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Ma'anshan Weitai</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Ma'anshan Weitai Tin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CID003379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Tin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Masbro Alam</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PT Masbro Alam</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CID003380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Stania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Stania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CGR Metalloys Pvt</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CGR Metalloys Pvt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CID003382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Sovereign Metals</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Sovereign Metals</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CID003383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Luna Smelter, Ltd.</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Luna Smelter, Ltd.</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Rwanda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CID003387</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Yunnan Yunfan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Yunnan Yunfan Non-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Non-ferrous Metals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ferrous Metals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CID003397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Lianyou Metals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Lianyou Metals Co.,</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Taiwan, Province</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CID003407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 China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JSC "Kirovgrad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JSC "Kirovgrad Hard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CID003408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Hard Alloys Plant"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Alloys Plant"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Precious Minerals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Precious Minerals and</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and Smelting</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CID003409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Limited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Smelting Limited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Gejiu City Fuxiang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Gejiu City Fuxiang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Industry and Trade</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Industry and Trade</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CID003410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NPP</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NPP Tyazhmetprom</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Tyazhmetprom</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CID003416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LLC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LLC</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Hubei Green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Hubei Green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CID003417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Tungsten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Tungsten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Eco-System</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Eco-System</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Recycling Co., Ltd.</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Recycling Co., Ltd.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CID003424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North Plant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North Plant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Eco-System</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Eco-System</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Recycling Co., Ltd.</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Recycling Co., Ltd.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CID003425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West Plant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West Plant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Albasteel Industria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Albasteel Industria e</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 Comercio de</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Ligas Para</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Comercio de Ligas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CID003427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Fundicao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Para Fundicao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Mitra Sukses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PT Mitra Sukses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CID003449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Globalindo</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Globalindo</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Augmont</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Augmont Enterprises</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Enterprises Private</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CID003461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Limited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Private Limited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Kundan Care</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Kundan Care Products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CID003463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Products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Cronimet Brasil</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Cronimet Brasil Ltda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CID003468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Ltda</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21" w:name="page22"/>
    <w:bookmarkEnd w:id="21"/>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CRM Fundicao De</w:t>
            </w:r>
          </w:p>
        </w:tc>
        <w:tc>
          <w:tcPr>
            <w:tcW w:w="1520" w:type="dxa"/>
            <w:vAlign w:val="bottom"/>
            <w:tcBorders>
              <w:right w:val="single" w:sz="8" w:color="auto"/>
            </w:tcBorders>
          </w:tcPr>
          <w:p>
            <w:pPr>
              <w:ind w:left="100"/>
              <w:spacing w:after="0" w:line="104" w:lineRule="exact"/>
              <w:rPr>
                <w:sz w:val="20"/>
                <w:szCs w:val="20"/>
                <w:color w:val="auto"/>
              </w:rPr>
            </w:pPr>
            <w:r>
              <w:rPr>
                <w:rFonts w:ascii="Times New Roman" w:cs="Times New Roman" w:eastAsia="Times New Roman" w:hAnsi="Times New Roman"/>
                <w:sz w:val="12"/>
                <w:szCs w:val="12"/>
                <w:color w:val="auto"/>
              </w:rPr>
              <w:t>CRM Fundicao De</w:t>
            </w:r>
          </w:p>
        </w:tc>
        <w:tc>
          <w:tcPr>
            <w:tcW w:w="13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Metais E Comercio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Metais E Comercio</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 Equipamentos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De Equipamentos</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Eletronicos Do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Eletronicos Do Brasil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CID003486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Brasil Ltda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Ltda</w:t>
            </w: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color w:val="auto"/>
              </w:rPr>
              <w:t>Emerald Jewel</w:t>
            </w:r>
          </w:p>
        </w:tc>
        <w:tc>
          <w:tcPr>
            <w:tcW w:w="1520" w:type="dxa"/>
            <w:vAlign w:val="bottom"/>
            <w:tcBorders>
              <w:right w:val="single" w:sz="8" w:color="auto"/>
            </w:tcBorders>
          </w:tcPr>
          <w:p>
            <w:pPr>
              <w:ind w:left="100"/>
              <w:spacing w:after="0" w:line="103" w:lineRule="exact"/>
              <w:rPr>
                <w:sz w:val="20"/>
                <w:szCs w:val="20"/>
                <w:color w:val="auto"/>
              </w:rPr>
            </w:pPr>
            <w:r>
              <w:rPr>
                <w:rFonts w:ascii="Times New Roman" w:cs="Times New Roman" w:eastAsia="Times New Roman" w:hAnsi="Times New Roman"/>
                <w:sz w:val="11"/>
                <w:szCs w:val="11"/>
                <w:color w:val="auto"/>
              </w:rPr>
              <w:t>Emerald Jewel</w:t>
            </w:r>
          </w:p>
        </w:tc>
        <w:tc>
          <w:tcPr>
            <w:tcW w:w="13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Industry India</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Industry India Limited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CID003487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Limited (Unit 1)</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(Unit 1)</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Emerald Jewel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Emerald Jewel</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Industry India</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Industry India Limited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CID003488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Limited (Unit 2)</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(Unit 2)</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Emerald Jewel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Emerald Jewel</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Industry India</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Industry India Limited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CID003489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Limited (Unit 3)</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(Unit 3)</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Emerald Jewel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Emerald Jewel</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Industry India</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Industry India Limited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CID003490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Limited (Unit 4)</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(Unit 4)</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K.A. Rasmussen</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K.A. Rasmussen</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Norway</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CID003497</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Alexy Metals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Alexy Metals</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CID003500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Conecsus LLC</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Conecsus LLC</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CID003504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CRM Synergies</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CRM Synergies</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Spain</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CID003524</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MD Overseas</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MD Overseas</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CID003548</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Artek LLC</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Artek LLC</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RUSSIAN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CID003553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FEDERATION</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Metallix Refining</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Metallix Refining Inc.</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CID003557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Inc.</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Metal</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Metal Concentrators</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Concentrators SA</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South Africa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CID003575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(Pty)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SA (Pty)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Fabrica Auricchio</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Fabrica Auricchio</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Industria e</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Industria e Comercio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CID003582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Comercio Ltda.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RFH Yancheng</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RFH Yancheng Jinye</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Jinye New Material</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Technology Co.,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New Material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CID003583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Technology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Fujian Xinlu</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Fujian Xinlu Tungsten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CID003609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Tungsten 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OOO “Technolom”</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OOO “Technolom” 2</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CID003612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OOO “Technolom”</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OOO “Technolom” 1</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Russian Federation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CID003614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WEEEREFINING</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WEEEREFINING</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France</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CID003615</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Gold by Gold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Gold by Gold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Colombia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CID003641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Colombia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Colombia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LLC Vostok</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LLC Vostok</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RUSSIAN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CID003643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FEDERATION</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YUDU ANSHENG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YUDU ANSHENG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TUNGSTEN CO.,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TUNGSTEN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CID003662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Dongwu Gold</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Dongwu Gold Group</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CID003663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Group</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Sam Precious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Sam Precious Metals</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Arab</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CID003666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Metals</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Emirates</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NOBLE METAL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NOBLE METAL</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CID003690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SERVICES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Putera Sarana</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PT Putera Sarana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CID003868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Shakti (PT PSS)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Shakti (PT PSS)</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5D Production OU</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5D Production OU</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Estonia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CID003926</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HANNAE FOR T</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HANNAE FOR T</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CID003978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REPUBLIC 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22" w:name="page23"/>
    <w:bookmarkEnd w:id="22"/>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Tungsten Vietnam</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Tungsten Vietnam</w:t>
            </w:r>
          </w:p>
        </w:tc>
        <w:tc>
          <w:tcPr>
            <w:tcW w:w="13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Joint Stock</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CID003993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Company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Joint Stock Company</w:t>
            </w: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color w:val="auto"/>
              </w:rPr>
              <w:t>Coimpa Industrial</w:t>
            </w:r>
          </w:p>
        </w:tc>
        <w:tc>
          <w:tcPr>
            <w:tcW w:w="1520" w:type="dxa"/>
            <w:vAlign w:val="bottom"/>
            <w:tcBorders>
              <w:right w:val="single" w:sz="8" w:color="auto"/>
            </w:tcBorders>
          </w:tcPr>
          <w:p>
            <w:pPr>
              <w:ind w:left="100"/>
              <w:spacing w:after="0" w:line="103" w:lineRule="exact"/>
              <w:rPr>
                <w:sz w:val="20"/>
                <w:szCs w:val="20"/>
                <w:color w:val="auto"/>
              </w:rPr>
            </w:pPr>
            <w:r>
              <w:rPr>
                <w:rFonts w:ascii="Times New Roman" w:cs="Times New Roman" w:eastAsia="Times New Roman" w:hAnsi="Times New Roman"/>
                <w:sz w:val="11"/>
                <w:szCs w:val="11"/>
                <w:color w:val="auto"/>
              </w:rPr>
              <w:t>Coimpa Industrial</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Brazil</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CID004010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LTDA</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LTDA</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Nam Viet Cromit</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Nam Viet Cromit</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Joint Stock</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CID004034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Company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Joint Stock Company</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PowerX Ltd.</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PowerX Ltd.</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Rwanda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CID004054</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DONGKUK</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DONGKUK</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Korea, Republic</w:t>
            </w: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INDUSTRIES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INDUSTRIES CO.,</w:t>
            </w:r>
          </w:p>
        </w:tc>
        <w:tc>
          <w:tcPr>
            <w:tcW w:w="13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CID004060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Mining Minerals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Mining Minerals</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Congo, Democratic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CID004065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Resources SARL</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Resources SARL</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Republic Of The</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Lianyou Resources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Lianyou Resources</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Taiwan, Province</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CID004397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 China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Takehara PVD</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Takehara PVD</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Materials Plant /</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PVD Materials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Materials Plant / PVD</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Division of</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Materials Division of</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MITSUI MINING</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MITSUI MINING &amp;</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&amp; SMELTING</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SMELTING CO.,</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CID004403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Shinwon Tungsten</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Shinwon Tungsten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(Fujian Shanghang)</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(Fujian Shanghang)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CID004430</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Malaysia Smelting</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Malaysia Smelting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Corporation</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Berhad (Port</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Corporation Berhad</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Malaysia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CID004434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Klang)</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(Port Klang)</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SHENZHEN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SHENZHEN</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JINJUNWEI</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RESOURCE</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JINJUNWEI</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COMPREHENSIV</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RESOURCE</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CID004435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Philippine</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Philippine Carreytech</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Carreytech Metal</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Philippines</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CID004438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Corp.</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Metal Corp.</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TITAN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TITAN COMPANY</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JEWELLERY</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JEWELLERY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CID004491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DIVISION</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DIVISION</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GG Refinery Ltd.</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GG Refinery Ltd.</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Tanzania, United</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CID004506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Republic 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KENEE MINING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KENEE MINING</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Viet Nam</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CID004619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LIMITED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LIMITED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PT Mitra Graha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PT Mitra Graha Raya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Indonesia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CID004685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Raya</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RIKAYAA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RIKAYAA</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GREENTECH</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PRIVATE</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GREENTECH</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CID004692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LIMITED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PRIVATE LIMITED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Attero Recycling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Attero Recycling Pvt</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India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CID004697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Pvt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SOLEIL METALS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SOLEIL METALS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Peru</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CID004704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(Chala One Plant)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(Chala One Plant)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SOLEIL METALS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SOLEIL METALS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Peru</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CID004705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(YAKARI Plant)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(YAKARI Plant)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5" w:right="1440" w:bottom="1440" w:gutter="0" w:footer="0" w:header="0"/>
        </w:sectPr>
      </w:pPr>
    </w:p>
    <w:bookmarkStart w:id="23" w:name="page24"/>
    <w:bookmarkEnd w:id="23"/>
    <w:tbl>
      <w:tblPr>
        <w:tblLayout w:type="fixed"/>
        <w:tblInd w:w="290" w:type="dxa"/>
        <w:tblCellMar>
          <w:top w:w="0" w:type="dxa"/>
          <w:left w:w="0" w:type="dxa"/>
          <w:bottom w:w="0" w:type="dxa"/>
          <w:right w:w="0" w:type="dxa"/>
        </w:tblCellMar>
      </w:tblPr>
      <w:tr>
        <w:trPr>
          <w:trHeight w:val="187"/>
        </w:trPr>
        <w:tc>
          <w:tcPr>
            <w:tcW w:w="960" w:type="dxa"/>
            <w:vAlign w:val="bottom"/>
            <w:tcBorders>
              <w:left w:val="single" w:sz="8" w:color="D0CECE"/>
              <w:right w:val="single" w:sz="8" w:color="D0CECE"/>
            </w:tcBorders>
            <w:shd w:val="clear" w:color="auto" w:fill="D0CECE"/>
          </w:tcPr>
          <w:p>
            <w:pPr>
              <w:ind w:left="12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52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Source of</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ind w:left="80"/>
              <w:spacing w:after="0"/>
              <w:rPr>
                <w:sz w:val="20"/>
                <w:szCs w:val="20"/>
                <w:color w:val="auto"/>
              </w:rPr>
            </w:pPr>
            <w:r>
              <w:rPr>
                <w:rFonts w:ascii="Times New Roman" w:cs="Times New Roman" w:eastAsia="Times New Roman" w:hAnsi="Times New Roman"/>
                <w:sz w:val="16"/>
                <w:szCs w:val="16"/>
                <w:b w:val="1"/>
                <w:bCs w:val="1"/>
                <w:color w:val="auto"/>
              </w:rPr>
              <w:t>Reference List</w:t>
            </w: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Smelter</w:t>
            </w:r>
          </w:p>
        </w:tc>
        <w:tc>
          <w:tcPr>
            <w:tcW w:w="9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0" w:type="dxa"/>
            <w:vAlign w:val="bottom"/>
          </w:tcPr>
          <w:p>
            <w:pPr>
              <w:spacing w:after="0"/>
              <w:rPr>
                <w:sz w:val="1"/>
                <w:szCs w:val="1"/>
                <w:color w:val="auto"/>
              </w:rPr>
            </w:pPr>
          </w:p>
        </w:tc>
      </w:tr>
      <w:tr>
        <w:trPr>
          <w:trHeight w:val="203"/>
        </w:trPr>
        <w:tc>
          <w:tcPr>
            <w:tcW w:w="960" w:type="dxa"/>
            <w:vAlign w:val="bottom"/>
            <w:tcBorders>
              <w:left w:val="single" w:sz="8" w:color="D0CECE"/>
              <w:right w:val="single" w:sz="8" w:color="D0CECE"/>
            </w:tcBorders>
            <w:shd w:val="clear" w:color="auto" w:fill="D0CECE"/>
          </w:tcPr>
          <w:p>
            <w:pPr>
              <w:spacing w:after="0"/>
              <w:rPr>
                <w:sz w:val="17"/>
                <w:szCs w:val="17"/>
                <w:color w:val="auto"/>
              </w:rPr>
            </w:pPr>
          </w:p>
        </w:tc>
        <w:tc>
          <w:tcPr>
            <w:tcW w:w="1360" w:type="dxa"/>
            <w:vAlign w:val="bottom"/>
            <w:tcBorders>
              <w:right w:val="single" w:sz="8" w:color="D0CECE"/>
            </w:tcBorders>
            <w:shd w:val="clear" w:color="auto" w:fill="D0CECE"/>
          </w:tcPr>
          <w:p>
            <w:pPr>
              <w:spacing w:after="0"/>
              <w:rPr>
                <w:sz w:val="17"/>
                <w:szCs w:val="17"/>
                <w:color w:val="auto"/>
              </w:rPr>
            </w:pPr>
          </w:p>
        </w:tc>
        <w:tc>
          <w:tcPr>
            <w:tcW w:w="1520" w:type="dxa"/>
            <w:vAlign w:val="bottom"/>
            <w:tcBorders>
              <w:right w:val="single" w:sz="8" w:color="D0CECE"/>
            </w:tcBorders>
            <w:shd w:val="clear" w:color="auto" w:fill="D0CECE"/>
          </w:tcPr>
          <w:p>
            <w:pPr>
              <w:spacing w:after="0"/>
              <w:rPr>
                <w:sz w:val="17"/>
                <w:szCs w:val="17"/>
                <w:color w:val="auto"/>
              </w:rPr>
            </w:pPr>
          </w:p>
        </w:tc>
        <w:tc>
          <w:tcPr>
            <w:tcW w:w="1340" w:type="dxa"/>
            <w:vAlign w:val="bottom"/>
            <w:tcBorders>
              <w:right w:val="single" w:sz="8" w:color="D0CECE"/>
            </w:tcBorders>
            <w:shd w:val="clear" w:color="auto" w:fill="D0CECE"/>
          </w:tcPr>
          <w:p>
            <w:pPr>
              <w:spacing w:after="0"/>
              <w:rPr>
                <w:sz w:val="17"/>
                <w:szCs w:val="17"/>
                <w:color w:val="auto"/>
              </w:rPr>
            </w:pPr>
          </w:p>
        </w:tc>
        <w:tc>
          <w:tcPr>
            <w:tcW w:w="114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w:t>
            </w:r>
          </w:p>
        </w:tc>
        <w:tc>
          <w:tcPr>
            <w:tcW w:w="1180" w:type="dxa"/>
            <w:vAlign w:val="bottom"/>
            <w:tcBorders>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940" w:type="dxa"/>
            <w:vAlign w:val="bottom"/>
            <w:tcBorders>
              <w:right w:val="single" w:sz="8" w:color="D0CECE"/>
            </w:tcBorders>
            <w:shd w:val="clear" w:color="auto" w:fill="D0CEC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D0CECE"/>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D0CECE"/>
            </w:tcBorders>
            <w:shd w:val="clear" w:color="auto" w:fill="D0CECE"/>
          </w:tcPr>
          <w:p>
            <w:pPr>
              <w:spacing w:after="0"/>
              <w:rPr>
                <w:sz w:val="20"/>
                <w:szCs w:val="20"/>
                <w:color w:val="auto"/>
              </w:rPr>
            </w:pPr>
          </w:p>
        </w:tc>
        <w:tc>
          <w:tcPr>
            <w:tcW w:w="1520" w:type="dxa"/>
            <w:vAlign w:val="bottom"/>
            <w:tcBorders>
              <w:bottom w:val="single" w:sz="8" w:color="auto"/>
              <w:right w:val="single" w:sz="8" w:color="D0CECE"/>
            </w:tcBorders>
            <w:shd w:val="clear" w:color="auto" w:fill="D0CECE"/>
          </w:tcPr>
          <w:p>
            <w:pPr>
              <w:spacing w:after="0"/>
              <w:rPr>
                <w:sz w:val="20"/>
                <w:szCs w:val="20"/>
                <w:color w:val="auto"/>
              </w:rPr>
            </w:pPr>
          </w:p>
        </w:tc>
        <w:tc>
          <w:tcPr>
            <w:tcW w:w="1340" w:type="dxa"/>
            <w:vAlign w:val="bottom"/>
            <w:tcBorders>
              <w:bottom w:val="single" w:sz="8" w:color="auto"/>
              <w:right w:val="single" w:sz="8" w:color="D0CECE"/>
            </w:tcBorders>
            <w:shd w:val="clear" w:color="auto" w:fill="D0CECE"/>
          </w:tcPr>
          <w:p>
            <w:pPr>
              <w:spacing w:after="0"/>
              <w:rPr>
                <w:sz w:val="20"/>
                <w:szCs w:val="20"/>
                <w:color w:val="auto"/>
              </w:rPr>
            </w:pPr>
          </w:p>
        </w:tc>
        <w:tc>
          <w:tcPr>
            <w:tcW w:w="1140" w:type="dxa"/>
            <w:vAlign w:val="bottom"/>
            <w:tcBorders>
              <w:bottom w:val="single" w:sz="8" w:color="auto"/>
              <w:right w:val="single" w:sz="8" w:color="D0CECE"/>
            </w:tcBorders>
            <w:shd w:val="clear" w:color="auto" w:fill="D0CECE"/>
          </w:tcPr>
          <w:p>
            <w:pPr>
              <w:spacing w:after="0"/>
              <w:rPr>
                <w:sz w:val="20"/>
                <w:szCs w:val="20"/>
                <w:color w:val="auto"/>
              </w:rPr>
            </w:pPr>
          </w:p>
        </w:tc>
        <w:tc>
          <w:tcPr>
            <w:tcW w:w="11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40" w:type="dxa"/>
            <w:vAlign w:val="bottom"/>
            <w:tcBorders>
              <w:bottom w:val="single" w:sz="8" w:color="auto"/>
              <w:right w:val="single" w:sz="8" w:color="D0CECE"/>
            </w:tcBorders>
            <w:shd w:val="clear" w:color="auto" w:fill="D0CECE"/>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6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2"/>
                <w:szCs w:val="12"/>
                <w:color w:val="auto"/>
              </w:rPr>
              <w:t>Impala Platinum -</w:t>
            </w:r>
          </w:p>
        </w:tc>
        <w:tc>
          <w:tcPr>
            <w:tcW w:w="1520" w:type="dxa"/>
            <w:vAlign w:val="bottom"/>
            <w:tcBorders>
              <w:right w:val="single" w:sz="8" w:color="auto"/>
            </w:tcBorders>
          </w:tcPr>
          <w:p>
            <w:pPr>
              <w:ind w:left="100"/>
              <w:spacing w:after="0" w:line="104" w:lineRule="exact"/>
              <w:rPr>
                <w:sz w:val="20"/>
                <w:szCs w:val="20"/>
                <w:color w:val="auto"/>
              </w:rPr>
            </w:pPr>
            <w:r>
              <w:rPr>
                <w:rFonts w:ascii="Times New Roman" w:cs="Times New Roman" w:eastAsia="Times New Roman" w:hAnsi="Times New Roman"/>
                <w:sz w:val="12"/>
                <w:szCs w:val="12"/>
                <w:color w:val="auto"/>
              </w:rPr>
              <w:t>Impala Platinum -</w:t>
            </w:r>
          </w:p>
        </w:tc>
        <w:tc>
          <w:tcPr>
            <w:tcW w:w="13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Platinum Metals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Platinum Metals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South Africa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CID004714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88"/>
        </w:trPr>
        <w:tc>
          <w:tcPr>
            <w:tcW w:w="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 (PMR)</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Refinery (PMR)</w:t>
            </w:r>
          </w:p>
        </w:tc>
        <w:tc>
          <w:tcPr>
            <w:tcW w:w="13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960" w:type="dxa"/>
            <w:vAlign w:val="bottom"/>
            <w:tcBorders>
              <w:left w:val="single" w:sz="8" w:color="auto"/>
              <w:right w:val="single" w:sz="8" w:color="auto"/>
            </w:tcBorders>
          </w:tcPr>
          <w:p>
            <w:pPr>
              <w:spacing w:after="0"/>
              <w:rPr>
                <w:sz w:val="8"/>
                <w:szCs w:val="8"/>
                <w:color w:val="auto"/>
              </w:rPr>
            </w:pPr>
          </w:p>
        </w:tc>
        <w:tc>
          <w:tcPr>
            <w:tcW w:w="1360" w:type="dxa"/>
            <w:vAlign w:val="bottom"/>
            <w:tcBorders>
              <w:right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color w:val="auto"/>
              </w:rPr>
              <w:t>Woodcross</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Woodcross Smelting</w:t>
            </w:r>
          </w:p>
        </w:tc>
        <w:tc>
          <w:tcPr>
            <w:tcW w:w="13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Smelting Company</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Uganda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CID004724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Limited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Company Limited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Global Advanced</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Global Advanced</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Metals</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Greenbushes Pty</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Metals Greenbushes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Australia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CID004754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Pty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Elite Industech Co.,</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Elite Industech Co.,</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Taiwan, Province</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CID004755</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 China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Longnan</w:t>
            </w:r>
          </w:p>
        </w:tc>
        <w:tc>
          <w:tcPr>
            <w:tcW w:w="15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Chuangyue</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Longnan Chuangyue</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Environmental</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Protection</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Environmental</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Technology</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Protection</w:t>
            </w: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Development Co.,</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Technology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CID004796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Development 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Philippine Bonway</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Philippine Bonway</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Industrial</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Philippines</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CID004797</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Corporation</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Industrial Corporation</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Jiangxi Sanshi</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Jiangxi Sanshi</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Tantalum</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Nonferrous Metals</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Nonferrous Metals</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CID004813</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Co., 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Gasabo Gold</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Gasabo Gold Refinery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Rwanda</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CID005006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Refinery 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Ltd</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Jing Yuan</w:t>
            </w:r>
          </w:p>
        </w:tc>
        <w:tc>
          <w:tcPr>
            <w:tcW w:w="15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Jing Yuan Tungsten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Taiwan, Province</w:t>
            </w: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Technology Co.,</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CID005012</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Ltd.</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Technology Co., Ltd.</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 China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Minera Titán del</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Minera Titán del Perú</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Perú SRL (MTP) -</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SRL (MTP) - Belen</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Peru</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CID005014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Belen Plant</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Plant</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S.P.T. spol.s r.o.</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S.P.T. spol.s r.o.</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Czechia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CID005068</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Tin</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 Kay Metal, Inc</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 Kay Metal, Inc</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United States Of</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CID005189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America</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Tungamoy Metals</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Tungamoy Metals</w:t>
            </w:r>
          </w:p>
        </w:tc>
        <w:tc>
          <w:tcPr>
            <w:tcW w:w="134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Korea, Republic</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CID005248</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Inc.</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Tungsten</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Geo Enterprise</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Geo Enterprise</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Georgia</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CID005373</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Naoshima Smelter</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Naoshima Smelter &amp;</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CID005396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&amp; Refinery</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Refinery</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KGHM Polska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KGHM Polska Miedz</w:t>
            </w:r>
          </w:p>
        </w:tc>
        <w:tc>
          <w:tcPr>
            <w:tcW w:w="13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Miedz S.A.</w:t>
            </w:r>
          </w:p>
        </w:tc>
        <w:tc>
          <w:tcPr>
            <w:tcW w:w="15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Oddzial Huta</w:t>
            </w:r>
          </w:p>
        </w:tc>
        <w:tc>
          <w:tcPr>
            <w:tcW w:w="152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S.A. Oddzial Huta</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Poland</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CID005401</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Miedzi, Glogow</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Miedzi, Glogow</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Aurubis AG,</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Aurubis AG,</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Germany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CID005476</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Hamburg</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Hamburg</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ARGET SAC</w:t>
            </w:r>
          </w:p>
        </w:tc>
        <w:tc>
          <w:tcPr>
            <w:tcW w:w="152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ARGET SAC</w:t>
            </w:r>
          </w:p>
        </w:tc>
        <w:tc>
          <w:tcPr>
            <w:tcW w:w="13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Peru</w:t>
            </w:r>
          </w:p>
        </w:tc>
        <w:tc>
          <w:tcPr>
            <w:tcW w:w="11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CID005522</w:t>
            </w:r>
          </w:p>
        </w:tc>
        <w:tc>
          <w:tcPr>
            <w:tcW w:w="118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Boliden Harjavalta</w:t>
            </w:r>
          </w:p>
        </w:tc>
        <w:tc>
          <w:tcPr>
            <w:tcW w:w="1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Boliden Harjavalta Oy</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Finland</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CID005589</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Oy</w:t>
            </w:r>
          </w:p>
        </w:tc>
        <w:tc>
          <w:tcPr>
            <w:tcW w:w="1520" w:type="dxa"/>
            <w:vAlign w:val="bottom"/>
            <w:tcBorders>
              <w:bottom w:val="single" w:sz="8" w:color="auto"/>
              <w:right w:val="single" w:sz="8" w:color="auto"/>
            </w:tcBorders>
            <w:vMerge w:val="continue"/>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Gold</w:t>
            </w:r>
          </w:p>
        </w:tc>
        <w:tc>
          <w:tcPr>
            <w:tcW w:w="13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Glencore</w:t>
            </w:r>
          </w:p>
        </w:tc>
        <w:tc>
          <w:tcPr>
            <w:tcW w:w="1520" w:type="dxa"/>
            <w:vAlign w:val="bottom"/>
            <w:tcBorders>
              <w:righ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Glencore Nikkelverk</w:t>
            </w:r>
          </w:p>
        </w:tc>
        <w:tc>
          <w:tcPr>
            <w:tcW w:w="1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Norway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CID005614</w:t>
            </w:r>
          </w:p>
        </w:tc>
        <w:tc>
          <w:tcPr>
            <w:tcW w:w="1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RMI</w:t>
            </w:r>
          </w:p>
        </w:tc>
        <w:tc>
          <w:tcPr>
            <w:tcW w:w="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Known</w:t>
            </w:r>
          </w:p>
        </w:tc>
        <w:tc>
          <w:tcPr>
            <w:tcW w:w="0" w:type="dxa"/>
            <w:vAlign w:val="bottom"/>
          </w:tcPr>
          <w:p>
            <w:pPr>
              <w:spacing w:after="0"/>
              <w:rPr>
                <w:sz w:val="1"/>
                <w:szCs w:val="1"/>
                <w:color w:val="auto"/>
              </w:rPr>
            </w:pPr>
          </w:p>
        </w:tc>
      </w:tr>
      <w:tr>
        <w:trPr>
          <w:trHeight w:val="171"/>
        </w:trPr>
        <w:tc>
          <w:tcPr>
            <w:tcW w:w="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Nikkelverk AS</w:t>
            </w:r>
          </w:p>
        </w:tc>
        <w:tc>
          <w:tcPr>
            <w:tcW w:w="1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AS</w:t>
            </w: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sectPr>
      <w:pgSz w:w="11900" w:h="16838" w:orient="portrait"/>
      <w:cols w:equalWidth="0" w:num="1">
        <w:col w:w="9019"/>
      </w:cols>
      <w:pgMar w:left="1440" w:top="14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4"/>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2026-05-28T16:56:24Z</dcterms:created>
  <dcterms:modified xsi:type="dcterms:W3CDTF">2026-05-28T16:56:24Z</dcterms:modified>
</cp:coreProperties>
</file>