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205740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238125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231775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MKS Instruments,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207010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373" w:right="499" w:bottom="1440" w:gutter="0" w:footer="0" w:header="0"/>
        </w:sectPr>
      </w:pPr>
    </w:p>
    <w:p>
      <w:pPr>
        <w:spacing w:after="0" w:line="200" w:lineRule="exact"/>
        <w:rPr>
          <w:sz w:val="24"/>
          <w:szCs w:val="24"/>
          <w:color w:val="auto"/>
        </w:rPr>
      </w:pPr>
    </w:p>
    <w:p>
      <w:pPr>
        <w:spacing w:after="0" w:line="37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000-23621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04-2277512</w:t>
      </w:r>
    </w:p>
    <w:p>
      <w:pPr>
        <w:spacing w:after="0" w:line="20" w:lineRule="exact"/>
        <w:rPr>
          <w:sz w:val="24"/>
          <w:szCs w:val="24"/>
          <w:color w:val="auto"/>
        </w:rPr>
      </w:pPr>
    </w:p>
    <w:p>
      <w:pPr>
        <w:sectPr>
          <w:pgSz w:w="11900" w:h="16838" w:orient="portrait"/>
          <w:cols w:equalWidth="0" w:num="3">
            <w:col w:w="4480" w:space="720"/>
            <w:col w:w="2820" w:space="720"/>
            <w:col w:w="2180"/>
          </w:cols>
          <w:pgMar w:left="480" w:top="373" w:right="49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8" w:lineRule="exact"/>
        <w:rPr>
          <w:sz w:val="24"/>
          <w:szCs w:val="24"/>
          <w:color w:val="auto"/>
        </w:rPr>
      </w:pPr>
    </w:p>
    <w:p>
      <w:pPr>
        <w:sectPr>
          <w:pgSz w:w="11900" w:h="16838" w:orient="portrait"/>
          <w:cols w:equalWidth="0" w:num="3">
            <w:col w:w="4440" w:space="720"/>
            <w:col w:w="2740" w:space="720"/>
            <w:col w:w="2300"/>
          </w:cols>
          <w:pgMar w:left="480" w:top="373" w:right="499" w:bottom="1440" w:gutter="0" w:footer="0" w:header="0"/>
          <w:type w:val="continuous"/>
        </w:sect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2 Tech Drive, Suite 201, Andover,</w:t>
      </w:r>
    </w:p>
    <w:p>
      <w:pPr>
        <w:spacing w:after="0" w:line="4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01810</w:t>
      </w:r>
    </w:p>
    <w:p>
      <w:pPr>
        <w:spacing w:after="0" w:line="29" w:lineRule="exact"/>
        <w:rPr>
          <w:sz w:val="24"/>
          <w:szCs w:val="24"/>
          <w:color w:val="auto"/>
        </w:rPr>
      </w:pPr>
    </w:p>
    <w:p>
      <w:pPr>
        <w:sectPr>
          <w:pgSz w:w="11900" w:h="16838" w:orient="portrait"/>
          <w:cols w:equalWidth="0" w:num="2">
            <w:col w:w="7320" w:space="720"/>
            <w:col w:w="2880"/>
          </w:cols>
          <w:pgMar w:left="480" w:top="373" w:right="49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7" w:lineRule="exact"/>
        <w:rPr>
          <w:sz w:val="24"/>
          <w:szCs w:val="24"/>
          <w:color w:val="auto"/>
        </w:rPr>
      </w:pPr>
    </w:p>
    <w:p>
      <w:pPr>
        <w:sectPr>
          <w:pgSz w:w="11900" w:h="16838" w:orient="portrait"/>
          <w:cols w:equalWidth="0" w:num="2">
            <w:col w:w="7220" w:space="720"/>
            <w:col w:w="2980"/>
          </w:cols>
          <w:pgMar w:left="480" w:top="373" w:right="4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978-645-5500</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199390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840" w:type="dxa"/>
            <w:vAlign w:val="bottom"/>
            <w:gridSpan w:val="2"/>
            <w:vMerge w:val="continue"/>
          </w:tcPr>
          <w:p>
            <w:pPr>
              <w:spacing w:after="0"/>
              <w:rPr>
                <w:sz w:val="16"/>
                <w:szCs w:val="16"/>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6"/>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MKSI</w:t>
            </w:r>
          </w:p>
        </w:tc>
        <w:tc>
          <w:tcPr>
            <w:tcW w:w="10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c>
          <w:tcPr>
            <w:tcW w:w="0" w:type="dxa"/>
            <w:vAlign w:val="bottom"/>
          </w:tcPr>
          <w:p>
            <w:pPr>
              <w:spacing w:after="0"/>
              <w:rPr>
                <w:sz w:val="1"/>
                <w:szCs w:val="1"/>
                <w:color w:val="auto"/>
              </w:rPr>
            </w:pPr>
          </w:p>
        </w:tc>
      </w:tr>
    </w:tbl>
    <w:p>
      <w:pPr>
        <w:spacing w:after="0" w:line="137" w:lineRule="exact"/>
        <w:rPr>
          <w:sz w:val="24"/>
          <w:szCs w:val="24"/>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3" w:lineRule="exact"/>
        <w:rPr>
          <w:sz w:val="24"/>
          <w:szCs w:val="24"/>
          <w:color w:val="auto"/>
        </w:rPr>
      </w:pPr>
    </w:p>
    <w:p>
      <w:pPr>
        <w:ind w:right="160" w:firstLine="436"/>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73" w:right="49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On February 13, 2023, MKS Instruments, Inc. (the “Company”) issued a press release that included additional information on the ransomware event the Company had previously disclosed in a Current Report on Form 8-K filed on February 6, 2023.</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Upon learning of the ransomware event, the Company took immediate action to contain the incident and has initiated the recovery phase. The Company continues to work diligently to restore operations at affected facilities. The ransomware event has had a material impact in the first quarter on the Company’s ability to process orders, ship products and provide service to customers in the Company’s Vacuum Solutions and Photonics Solutions Divisions. The incident has not impacted the operations of the Company’s Materials Solutions Division. The full scope of the costs and related impacts of this incident, including the extent to which the Company’s cybersecurity insurance may offset some of these costs, has not been determined.</w:t>
      </w:r>
    </w:p>
    <w:p>
      <w:pPr>
        <w:spacing w:after="0" w:line="31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2"/>
        </w:trPr>
        <w:tc>
          <w:tcPr>
            <w:tcW w:w="104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572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2"/>
                <w:szCs w:val="22"/>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Company on February 13, 2023</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of 1933 and Section 21E of the Securities Exchange Act of 1934 relating to the Company’s expectations regarding its ability to restore operations at affected facilities and assess the ransomware event and its impact on the Company. These statements are only predictions based on current assumptions and expectations. Actual events or results may differ materially from those in the forward-looking statements set forth herein. Among the important factors that could cause actual events to differ materially from those in the forward-looking statements are the ongoing assessment of the cybersecurity incident; legal, reputational and financial risks resulting from the cybersecurity incident or additional cybersecurity incidents; and the other factors described in the Company’s Quarterly Report on Form 10-Q for the quarter ended September 30, 2022, filed with the U.S. Securities and Exchange Commission on November 7, 2022, particularly the risks described under the following subheading: “Risks Related to Cybersecurity, Data Privacy and Intellectual Property Protection”. The Company is under no obligation to, and expressly disclaims any obligation to, update or alter these forward-looking statements, whether as a result of new information, future events or otherwise after the date of this Current Report on Form 8-K, except as may be required under applicable securities law.</w:t>
      </w:r>
    </w:p>
    <w:p>
      <w:pPr>
        <w:sectPr>
          <w:pgSz w:w="11900" w:h="16838" w:orient="portrait"/>
          <w:cols w:equalWidth="0" w:num="1">
            <w:col w:w="10860"/>
          </w:cols>
          <w:pgMar w:left="480" w:top="291"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SIGNATURES</w:t>
      </w:r>
    </w:p>
    <w:p>
      <w:pPr>
        <w:spacing w:after="0" w:line="22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20" w:type="dxa"/>
            <w:vAlign w:val="bottom"/>
          </w:tcPr>
          <w:p>
            <w:pPr>
              <w:spacing w:after="0"/>
              <w:rPr>
                <w:sz w:val="20"/>
                <w:szCs w:val="20"/>
                <w:color w:val="auto"/>
              </w:rPr>
            </w:pPr>
          </w:p>
        </w:tc>
        <w:tc>
          <w:tcPr>
            <w:tcW w:w="73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MKS Instruments, Inc.</w:t>
            </w:r>
          </w:p>
        </w:tc>
      </w:tr>
      <w:tr>
        <w:trPr>
          <w:trHeight w:val="427"/>
        </w:trPr>
        <w:tc>
          <w:tcPr>
            <w:tcW w:w="362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F. Burke</w:t>
            </w:r>
          </w:p>
        </w:tc>
      </w:tr>
      <w:tr>
        <w:trPr>
          <w:trHeight w:val="202"/>
        </w:trPr>
        <w:tc>
          <w:tcPr>
            <w:tcW w:w="3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 February 13, 2023</w:t>
            </w:r>
          </w:p>
        </w:tc>
        <w:tc>
          <w:tcPr>
            <w:tcW w:w="2500" w:type="dxa"/>
            <w:vAlign w:val="bottom"/>
          </w:tcPr>
          <w:p>
            <w:pPr>
              <w:ind w:left="186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Kathleen F. Burke</w:t>
            </w:r>
          </w:p>
        </w:tc>
      </w:tr>
      <w:tr>
        <w:trPr>
          <w:trHeight w:val="233"/>
        </w:trPr>
        <w:tc>
          <w:tcPr>
            <w:tcW w:w="362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920"/>
          </w:cols>
          <w:pgMar w:left="480" w:top="291"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094855" cy="110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4855" cy="110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MKS Reschedules Fourth Quarter and Full Year 2022 Earnings Call to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692975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12"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Andover, Mass., February 13, 2023 — MKS Instruments, Inc. (NASDAQ: MKSI), a global provider of enabling technologies that transform our world, today reported that due to the ransomware event that was identified on February 3, 2023, the Company now plans to release fourth quarter and full year 2022 financial results after market close on Monday, February 27, 2023 and host a conference call with management on Tuesday, February 28, 2023 at 8:30 a.m. (Eastern Time).</w:t>
      </w:r>
    </w:p>
    <w:p>
      <w:pPr>
        <w:spacing w:after="0" w:line="180" w:lineRule="exact"/>
        <w:rPr>
          <w:sz w:val="20"/>
          <w:szCs w:val="20"/>
          <w:color w:val="auto"/>
        </w:rPr>
      </w:pPr>
    </w:p>
    <w:p>
      <w:pPr>
        <w:ind w:right="80" w:firstLine="436"/>
        <w:spacing w:after="0" w:line="274" w:lineRule="auto"/>
        <w:rPr>
          <w:sz w:val="20"/>
          <w:szCs w:val="20"/>
          <w:color w:val="auto"/>
        </w:rPr>
      </w:pPr>
      <w:r>
        <w:rPr>
          <w:rFonts w:ascii="Times New Roman" w:cs="Times New Roman" w:eastAsia="Times New Roman" w:hAnsi="Times New Roman"/>
          <w:sz w:val="17"/>
          <w:szCs w:val="17"/>
          <w:color w:val="auto"/>
        </w:rPr>
        <w:t>Upon learning of the ransomware event, MKS took immediate action to contain the incident and has initiated the recovery phase. MKS continues to work diligently to restore operations at affected facilities. The ransomware event has had a material impact in the first quarter on the Company’s ability to process orders, ship products and provide service to customers in the Company’s Vacuum Solutions and Photonics Solutions Divisions. The incident has not impacted the operations of the Company’s Materials Solutions Division. The full scope of the costs and related impacts of this incident, including the extent to which the Company’s cybersecurity insurance may offset some of these costs, has not been determined.</w:t>
      </w:r>
    </w:p>
    <w:p>
      <w:pPr>
        <w:spacing w:after="0" w:line="168"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By postponing the timing of the release of financial results, the Company expects to be in a better position to address the financial impact of the ransomware event.</w:t>
      </w:r>
    </w:p>
    <w:p>
      <w:pPr>
        <w:spacing w:after="0" w:line="162"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A conference call with management will be held on Tuesday, February 28, 2023, at 8:30 a.m. (Eastern Time). A live and archived webcast of the call will be available on the Company’s website at </w:t>
      </w:r>
      <w:r>
        <w:rPr>
          <w:rFonts w:ascii="Times New Roman" w:cs="Times New Roman" w:eastAsia="Times New Roman" w:hAnsi="Times New Roman"/>
          <w:sz w:val="18"/>
          <w:szCs w:val="18"/>
          <w:u w:val="single" w:color="auto"/>
          <w:color w:val="auto"/>
        </w:rPr>
        <w:t>https://investor.mks.com/</w:t>
      </w:r>
      <w:r>
        <w:rPr>
          <w:rFonts w:ascii="Times New Roman" w:cs="Times New Roman" w:eastAsia="Times New Roman" w:hAnsi="Times New Roman"/>
          <w:sz w:val="18"/>
          <w:szCs w:val="18"/>
          <w:color w:val="auto"/>
        </w:rPr>
        <w:t xml:space="preserve">. To participate in the call by phone, participants should register online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where dial in details will be provided. We encourage participants to register and dial in to the conference call at least 15 minutes before the start of the call to ensure a timely connection.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MKS Instruments</w:t>
      </w:r>
    </w:p>
    <w:p>
      <w:pPr>
        <w:spacing w:after="0" w:line="118" w:lineRule="exact"/>
        <w:rPr>
          <w:sz w:val="20"/>
          <w:szCs w:val="20"/>
          <w:color w:val="auto"/>
        </w:rPr>
      </w:pPr>
    </w:p>
    <w:p>
      <w:pPr>
        <w:ind w:right="320" w:firstLine="436"/>
        <w:spacing w:after="0" w:line="258" w:lineRule="auto"/>
        <w:rPr>
          <w:sz w:val="20"/>
          <w:szCs w:val="20"/>
          <w:color w:val="auto"/>
        </w:rPr>
      </w:pPr>
      <w:r>
        <w:rPr>
          <w:rFonts w:ascii="Times New Roman" w:cs="Times New Roman" w:eastAsia="Times New Roman" w:hAnsi="Times New Roman"/>
          <w:sz w:val="18"/>
          <w:szCs w:val="18"/>
          <w:color w:val="auto"/>
        </w:rPr>
        <w:t>MKS Instruments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094855" cy="467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4855" cy="467360"/>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1197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9155" cy="119761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companies. Our solutions are critical to addressing the challenges of miniaturization and complexity in advanced device manufacturing by enabling increased power, speed and feature enhancement for optimized connectivity. Our solutions are also critical to addressing ever-increasing performance requirements across a wide array of specialty industrial applications.</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Section 27A of the Securities Act of 1933 and Section 21E of the Securities Exchange Act of 1934 relating to the Company’s expectations regarding its ability to restore operations at affected facilities and assess the ransomware incident and its impact on the Company. These statements are only predictions based on current assumptions and expectations. Actual events or results may differ materially from those in the forward-looking statements set forth herein. Among the important factors that could cause actual events to differ materially from those in the forward-looking statements are the ongoing assessment of the cybersecurity incident; legal, reputational and financial risks resulting from the cybersecurity incident or additional cybersecurity incidents; and the other factors described in the Company’s Quarterly Report on Form 10-Q for the quarter ended September 30, 2022, filed with the U.S. Securities and Exchange Commission on November 7, 2022, particularly the risks described under the following subheading: “Risks Related to Cybersecurity, Data Privacy and Intellectual Property Protection”. The Company is under no obligation to, and expressly disclaims any obligation to, update or alter these forward-looking statements, whether as a result of new information, future events or otherwise after the date of this press release except as may be required under applicable securities law.</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 Contact</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Ryzhik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978.557.5180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david.ryzhik@mksinst.com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 Relations Contacts</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Casey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Marketing Communications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630.995.6384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press@mksinst.com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Davies / Jeremy Fielding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Kekst CNC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Emails: tom.davies@kekstcnc.com / jeremy.fielding@kekstcnc.com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094855" cy="483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4855" cy="483870"/>
                    </a:xfrm>
                    <a:prstGeom prst="rect">
                      <a:avLst/>
                    </a:prstGeom>
                    <a:noFill/>
                  </pic:spPr>
                </pic:pic>
              </a:graphicData>
            </a:graphic>
          </wp:anchor>
        </w:drawing>
      </w:r>
    </w:p>
    <w:sectPr>
      <w:pgSz w:w="11900" w:h="16838" w:orient="portrait"/>
      <w:cols w:equalWidth="0" w:num="1">
        <w:col w:w="10880"/>
      </w:cols>
      <w:pgMar w:left="48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2023-02-13T07:04:01Z</dcterms:created>
  <dcterms:modified xsi:type="dcterms:W3CDTF">2023-02-13T07:04:01Z</dcterms:modified>
</cp:coreProperties>
</file>