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Batra Raj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MKS INSTRUMENTS,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TECH DRIVE, 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MKS INSTRUMENTS INC</w:t>
              </w:r>
            </w:hyperlink>
            <w:r>
              <w:rPr/>
              <w:t xml:space="preserve"> [ </w:t>
            </w:r>
            <w:r>
              <w:rPr>
                <w:rFonts w:ascii="Times;serif" w:hAnsi="Times;serif"/>
                <w:color w:val="0000FF"/>
                <w:sz w:val="24"/>
                <w:shd w:fill="FFFFFF" w:val="clear"/>
              </w:rPr>
              <w:t>MKSI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137"/>
        <w:gridCol w:w="436"/>
        <w:gridCol w:w="598"/>
        <w:gridCol w:w="134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2,479.339</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15,445.339</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become fully vested on the day prior to the first annual meeting of shareholders following the date of grant (or if no such meeting is held within 13 months after the date of grant, on the 13 month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contingent right to receive one share of common stock of MKS Instruments, Inc.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 Kathryn Rickards,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514" TargetMode="External"/><Relationship Id="rId5" Type="http://schemas.openxmlformats.org/officeDocument/2006/relationships/hyperlink" Target="http://www.sec.gov/cgi-bin/browse-edgar?action=getcompany&amp;CIK=0001049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3377</Characters>
  <CharactersWithSpaces>3947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