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ksi-20260805.htm"/>
      <w:bookmarkStart w:id="1" w:name="ksmksi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MKS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000-23621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04-2277512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Tech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Andover,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978</w:t>
            </w:r>
            <w:r>
              <w:rPr>
                <w:rFonts w:ascii="Times New Roman" w:hAnsi="Times New Roman"/>
                <w:color w:val="000000"/>
                <w:sz w:val="20"/>
              </w:rPr>
              <w:t xml:space="preserve"> </w:t>
            </w:r>
            <w:r>
              <w:rPr>
                <w:rFonts w:ascii="Times New Roman" w:hAnsi="Times New Roman"/>
                <w:b/>
                <w:color w:val="000000"/>
                <w:sz w:val="20"/>
              </w:rPr>
              <w:t>645-5500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MKSI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18"/>
        </w:rPr>
      </w:pPr>
      <w:r>
        <w:rPr>
          <w:rFonts w:ascii="Times New Roman" w:hAnsi="Times New Roman"/>
          <w:color w:val="000000"/>
          <w:sz w:val="18"/>
        </w:rPr>
        <w:t>On August 5, 2026, MKS Inc. announced its financial results for the quarter ended June 30, 2026. The full text of the press release is attached as Exhibit 99.1 to this Current Report on Form 8-K.</w:t>
      </w:r>
    </w:p>
    <w:p>
      <w:pPr>
        <w:pStyle w:val="TextBody"/>
        <w:bidi w:val="0"/>
        <w:jc w:val="left"/>
        <w:rPr>
          <w:rFonts w:ascii="Times New Roman" w:hAnsi="Times New Roman"/>
          <w:color w:val="000000"/>
          <w:sz w:val="18"/>
        </w:rPr>
      </w:pPr>
      <w:r>
        <w:rPr>
          <w:rFonts w:ascii="Times New Roman" w:hAnsi="Times New Roman"/>
          <w:color w:val="000000"/>
          <w:sz w:val="18"/>
        </w:rPr>
        <w:t>The information in this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18"/>
        </w:rPr>
      </w:pPr>
      <w:r>
        <w:rPr>
          <w:rFonts w:ascii="Times New Roman" w:hAnsi="Times New Roman"/>
          <w:color w:val="000000"/>
          <w:sz w:val="18"/>
        </w:rPr>
        <w:t>(d) Exhibits</w:t>
      </w:r>
    </w:p>
    <w:p>
      <w:pPr>
        <w:pStyle w:val="TextBody"/>
        <w:bidi w:val="0"/>
        <w:jc w:val="left"/>
        <w:rPr/>
      </w:pPr>
      <w:r>
        <w:rPr/>
        <w:t> </w:t>
      </w:r>
    </w:p>
    <w:p>
      <w:pPr>
        <w:pStyle w:val="TextBody"/>
        <w:bidi w:val="0"/>
        <w:spacing w:before="120" w:after="283"/>
        <w:jc w:val="left"/>
        <w:rPr/>
      </w:pPr>
      <w:r>
        <w:rPr>
          <w:rFonts w:ascii="Times New Roman" w:hAnsi="Times New Roman"/>
          <w:color w:val="000000"/>
          <w:sz w:val="18"/>
        </w:rPr>
        <w:t xml:space="preserve">99.1 </w:t>
      </w:r>
      <w:hyperlink w:anchor="mksi-ex99_1.htm">
        <w:r>
          <w:rPr>
            <w:rStyle w:val="InternetLink"/>
            <w:rFonts w:ascii="Times New Roman" w:hAnsi="Times New Roman"/>
            <w:color w:val="0000FF"/>
            <w:sz w:val="18"/>
            <w:u w:val="single"/>
          </w:rPr>
          <w:t>Press Release dated August 5, 2026</w:t>
        </w:r>
      </w:hyperlink>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104 Cover Page Interactive Data File (embedded within the Inline XBRL document)</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339" w:type="dxa"/>
        <w:jc w:val="left"/>
        <w:tblInd w:w="0" w:type="dxa"/>
        <w:tblLayout w:type="fixed"/>
        <w:tblCellMar>
          <w:top w:w="28" w:type="dxa"/>
          <w:left w:w="28" w:type="dxa"/>
          <w:bottom w:w="28" w:type="dxa"/>
          <w:right w:w="28" w:type="dxa"/>
        </w:tblCellMar>
      </w:tblPr>
      <w:tblGrid>
        <w:gridCol w:w="556"/>
        <w:gridCol w:w="1351"/>
        <w:gridCol w:w="451"/>
        <w:gridCol w:w="498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MKS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9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Ramakumar Mayampurath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Ramakumar Mayampurath</w:t>
              <w:br/>
              <w:t xml:space="preserve">Title: Executive Vice President and Chief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mksi-ex99_1.htm"/>
      <w:bookmarkStart w:id="3" w:name="ksmksiex99_1"/>
      <w:bookmarkStart w:id="4" w:name="mksi-ex99_1.htm"/>
      <w:bookmarkStart w:id="5" w:name="ksmksiex99_1"/>
      <w:bookmarkEnd w:id="4"/>
      <w:bookmarkEnd w:id="5"/>
      <w:r>
        <w:br w:type="page"/>
      </w:r>
    </w:p>
    <w:tbl>
      <w:tblPr>
        <w:tblW w:w="3252" w:type="dxa"/>
        <w:jc w:val="left"/>
        <w:tblInd w:w="0" w:type="dxa"/>
        <w:tblLayout w:type="fixed"/>
        <w:tblCellMar>
          <w:top w:w="28" w:type="dxa"/>
          <w:left w:w="28" w:type="dxa"/>
          <w:bottom w:w="28" w:type="dxa"/>
          <w:right w:w="28" w:type="dxa"/>
        </w:tblCellMar>
      </w:tblPr>
      <w:tblGrid>
        <w:gridCol w:w="1721"/>
        <w:gridCol w:w="1531"/>
      </w:tblGrid>
      <w:tr>
        <w:trPr/>
        <w:tc>
          <w:tcPr>
            <w:tcW w:w="17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7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0287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466725"/>
                          </a:xfrm>
                          <a:prstGeom prst="rect">
                            <a:avLst/>
                          </a:prstGeom>
                        </pic:spPr>
                      </pic:pic>
                    </a:graphicData>
                  </a:graphic>
                </wp:inline>
              </w:drawing>
            </w:r>
          </w:p>
        </w:tc>
        <w:tc>
          <w:tcPr>
            <w:tcW w:w="15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99.1</w:t>
            </w:r>
          </w:p>
        </w:tc>
      </w:tr>
    </w:tbl>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MKS Inc. Reports Second Quarter 2026 Financial Results</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i/>
          <w:color w:val="000000"/>
          <w:sz w:val="24"/>
        </w:rPr>
      </w:pPr>
      <w:r>
        <w:rPr>
          <w:rFonts w:ascii="Times New Roman" w:hAnsi="Times New Roman"/>
          <w:b/>
          <w:i/>
          <w:color w:val="000000"/>
          <w:sz w:val="24"/>
        </w:rPr>
        <w:t xml:space="preserve">Revenue of $1,248 million, above the high end of guidance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i/>
          <w:color w:val="000000"/>
          <w:sz w:val="24"/>
        </w:rPr>
      </w:pPr>
      <w:r>
        <w:rPr>
          <w:rFonts w:ascii="Times New Roman" w:hAnsi="Times New Roman"/>
          <w:b/>
          <w:i/>
          <w:color w:val="000000"/>
          <w:sz w:val="24"/>
        </w:rPr>
        <w:t>GAAP net income of $175 million and net income per diluted share of $2.41, each above the high end of guidance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i/>
          <w:color w:val="000000"/>
          <w:sz w:val="24"/>
        </w:rPr>
      </w:pPr>
      <w:r>
        <w:rPr>
          <w:rFonts w:ascii="Times New Roman" w:hAnsi="Times New Roman"/>
          <w:b/>
          <w:i/>
          <w:color w:val="000000"/>
          <w:sz w:val="24"/>
        </w:rPr>
        <w:t>Adjusted EBITDA of $358 million and Non-GAAP net earnings per diluted share of $3.30, each above the high end of guidance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Andover, MA, August 5, 2026 -- MKS Inc. (NASDAQ: MKSI), a global provider of enabling technologies that transform our world, today reported its financial results for the second quarter of 2026.</w:t>
      </w:r>
    </w:p>
    <w:p>
      <w:pPr>
        <w:pStyle w:val="TextBody"/>
        <w:bidi w:val="0"/>
        <w:spacing w:before="120" w:after="283"/>
        <w:jc w:val="left"/>
        <w:rPr>
          <w:color w:val="000000"/>
        </w:rPr>
      </w:pPr>
      <w:r>
        <w:rPr>
          <w:color w:val="000000"/>
        </w:rPr>
        <w:t>“</w:t>
      </w:r>
      <w:r>
        <w:rPr>
          <w:rFonts w:ascii="Times New Roman" w:hAnsi="Times New Roman"/>
          <w:color w:val="000000"/>
          <w:sz w:val="24"/>
        </w:rPr>
        <w:t>MKS delivered accelerated double-digit year-over-year revenue growth across each of our end markets in the second quarter, demonstrating our foundational role as an enabler of advanced electronics,” said John T.C. Lee, President and Chief Executive Officer. “As AI-driven investment levels intensify across semiconductor and advanced packaging applications, our momentum is continuing to build, including rapidly growing order volumes. With the industry’s broadest technology capabilities, deep relationships in the electronics ecosystem, and enhanced capacity to deliver to customer demand, we are confident in MKS’ near- and long-term growth prospects.”</w:t>
      </w:r>
    </w:p>
    <w:p>
      <w:pPr>
        <w:pStyle w:val="TextBody"/>
        <w:bidi w:val="0"/>
        <w:spacing w:before="120" w:after="283"/>
        <w:jc w:val="left"/>
        <w:rPr>
          <w:color w:val="000000"/>
        </w:rPr>
      </w:pPr>
      <w:r>
        <w:rPr>
          <w:color w:val="000000"/>
        </w:rPr>
        <w:t>“</w:t>
      </w:r>
      <w:r>
        <w:rPr>
          <w:rFonts w:ascii="Times New Roman" w:hAnsi="Times New Roman"/>
          <w:color w:val="000000"/>
          <w:sz w:val="24"/>
        </w:rPr>
        <w:t>Our second quarter revenue and key profitability metrics once again came in at or above the high end of our guided ranges, underscoring our strong execution and favorable position in a robust demand environment,” said Ram Mayampurath, Executive Vice President and Chief Financial Officer. “We are demonstrating our ability to drive profitable growth and healthy free cash flow as we further strengthen our balance sheet and invest for the future.”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Selected GAAP and Non-GAAP Financial Measures</w:t>
      </w:r>
    </w:p>
    <w:p>
      <w:pPr>
        <w:pStyle w:val="TextBody"/>
        <w:bidi w:val="0"/>
        <w:jc w:val="center"/>
        <w:rPr>
          <w:rFonts w:ascii="Times New Roman" w:hAnsi="Times New Roman"/>
          <w:b/>
          <w:color w:val="000000"/>
          <w:sz w:val="24"/>
        </w:rPr>
      </w:pPr>
      <w:r>
        <w:rPr>
          <w:rFonts w:ascii="Times New Roman" w:hAnsi="Times New Roman"/>
          <w:b/>
          <w:color w:val="000000"/>
          <w:sz w:val="24"/>
        </w:rPr>
        <w:t>(In millions,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49"/>
        <w:gridCol w:w="244"/>
        <w:gridCol w:w="699"/>
        <w:gridCol w:w="301"/>
        <w:gridCol w:w="146"/>
        <w:gridCol w:w="244"/>
        <w:gridCol w:w="699"/>
        <w:gridCol w:w="301"/>
        <w:gridCol w:w="146"/>
        <w:gridCol w:w="283"/>
        <w:gridCol w:w="660"/>
        <w:gridCol w:w="301"/>
        <w:gridCol w:w="146"/>
        <w:gridCol w:w="244"/>
        <w:gridCol w:w="699"/>
        <w:gridCol w:w="301"/>
        <w:gridCol w:w="146"/>
        <w:gridCol w:w="244"/>
        <w:gridCol w:w="699"/>
        <w:gridCol w:w="353"/>
      </w:tblGrid>
      <w:tr>
        <w:trPr/>
        <w:tc>
          <w:tcPr>
            <w:tcW w:w="33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Three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Six Months Ended</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Q2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Q2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Q2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Q2 2025</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Net Revenues</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Semiconductor</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846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Electronics &amp; Packaging</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519</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Specialty Industrial</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545</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Total net revenues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1,248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1,078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973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1,910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Gross Margin</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GAAP Financial Measures</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Operating margin</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12.9</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income</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income per diluted share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0.92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1.69</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Non-GAAP Financial Measures</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Operating margin</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earnings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earnings per diluted share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40"/>
        <w:jc w:val="left"/>
        <w:rPr>
          <w:rFonts w:ascii="Times New Roman" w:hAnsi="Times New Roman"/>
          <w:b/>
          <w:color w:val="000000"/>
          <w:sz w:val="24"/>
        </w:rPr>
      </w:pPr>
      <w:r>
        <w:rPr>
          <w:rFonts w:ascii="Times New Roman" w:hAnsi="Times New Roman"/>
          <w:b/>
          <w:color w:val="000000"/>
          <w:sz w:val="24"/>
        </w:rPr>
        <w:t>Additional Financial Information</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At June 30, 2026, the Company had $611 million in cash and cash equivalents, $1.5 billion of secured term loan principal outstanding, $1.4 billion of convertible senior notes outstanding, </w:t>
      </w:r>
      <w:r>
        <w:rPr>
          <w:rFonts w:ascii="Times New Roman" w:hAnsi="Times New Roman"/>
          <w:color w:val="000000"/>
          <w:sz w:val="20"/>
        </w:rPr>
        <w:t>€</w:t>
      </w:r>
      <w:r>
        <w:rPr>
          <w:rFonts w:ascii="Times New Roman" w:hAnsi="Times New Roman"/>
          <w:color w:val="000000"/>
          <w:sz w:val="24"/>
        </w:rPr>
        <w:t>1.0 billion of senior notes outstanding and up to $1.0 billion of additional borrowing capacity under a revolving credit facility, subject to certain leverage ratio requirements. The trading price of our common stock during the second quarter of 2026 resulted in the satisfaction of the stock price conversion condition under the indenture governing our convertible senior notes. As a result, the convertible senior notes are convertible, in whole or in part, at the option of the noteholders at any time during the third quarter of 2026, and were classified as short-term debt, net of issuances costs, at June 30, 2026.</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In August 2026, the Company made a voluntary principal prepayment of $100 million on its USD term loan B.</w:t>
      </w:r>
    </w:p>
    <w:p>
      <w:pPr>
        <w:pStyle w:val="TextBody"/>
        <w:bidi w:val="0"/>
        <w:jc w:val="left"/>
        <w:rPr>
          <w:rFonts w:ascii="Times New Roman" w:hAnsi="Times New Roman"/>
          <w:sz w:val="20"/>
        </w:rPr>
      </w:pPr>
      <w:r>
        <w:rPr>
          <w:rFonts w:ascii="Times New Roman" w:hAnsi="Times New Roman"/>
          <w:b/>
          <w:color w:val="000000"/>
          <w:sz w:val="24"/>
        </w:rPr>
        <w:t>Third Quarter 2026 Guidance</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Revenue of $1,350 million, plus or minus $40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Gross margin of 47.0%, plus or minus 1.0%</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GAAP operating expenses of $346 million, plus or minus $5 million and Non-GAAP operating expenses of $280 million, plus or minus $5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GAAP net income of $201 million, plus or minus $23 million and Non-GAAP net earnings of $257 million, plus or minus $22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GAAP net income per diluted share of $2.73, plus or minus $0.31 and Non-GAAP net earnings per diluted share of $3.58, plus or minus $0.31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Adjusted EBITDA of $395 million, plus or minus $28 million</w:t>
      </w:r>
    </w:p>
    <w:p>
      <w:pPr>
        <w:pStyle w:val="TextBody"/>
        <w:bidi w:val="0"/>
        <w:jc w:val="left"/>
        <w:rPr>
          <w:rFonts w:ascii="Times New Roman" w:hAnsi="Times New Roman"/>
          <w:color w:val="000000"/>
          <w:sz w:val="24"/>
        </w:rPr>
      </w:pPr>
      <w:r>
        <w:rPr>
          <w:rFonts w:ascii="Times New Roman" w:hAnsi="Times New Roman"/>
          <w:color w:val="000000"/>
          <w:sz w:val="24"/>
        </w:rPr>
        <w:t>The guidance for the third quarter is based on the current business environment, including the impact of U.S. import tariffs and the imposition of retaliatory actions taken by other countries up through but not including the date of this release. The Company will continue to monitor and adapt to changes in the business environment as needed.</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Conference Call Details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conference call with management will be held on Thursday, August 6, 2026 at 8:30 a.m. (Eastern Time). To participate in the call by phone, participants should visit the Investor Relations section of MKS’ website at investor.mks.com and click on Events &amp; Presentations, where you will be able to register online and receive dial-in details. We encourage participants to register and dial in to the conference call at least 15 minutes before the start of the call to ensure a timely connection. A live and archived webcast and related presentation materials will be available on the Investor Relations section of the MKS website.</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About MKS Inc.</w:t>
      </w:r>
    </w:p>
    <w:p>
      <w:pPr>
        <w:pStyle w:val="TextBody"/>
        <w:bidi w:val="0"/>
        <w:spacing w:before="120" w:after="283"/>
        <w:jc w:val="left"/>
        <w:rPr>
          <w:rFonts w:ascii="Times New Roman" w:hAnsi="Times New Roman"/>
          <w:sz w:val="20"/>
        </w:rPr>
      </w:pPr>
      <w:r>
        <w:rPr>
          <w:rFonts w:ascii="Times New Roman" w:hAnsi="Times New Roman"/>
          <w:color w:val="000000"/>
          <w:sz w:val="24"/>
        </w:rPr>
        <w:t>MKS Inc. (NASDAQ: MKSI) enables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 Additional information can be found at www.mks.com.</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Use of Non-GAAP Financial Results</w:t>
      </w:r>
    </w:p>
    <w:p>
      <w:pPr>
        <w:pStyle w:val="TextBody"/>
        <w:bidi w:val="0"/>
        <w:spacing w:before="120" w:after="283"/>
        <w:jc w:val="left"/>
        <w:rPr>
          <w:rFonts w:ascii="Times New Roman" w:hAnsi="Times New Roman"/>
          <w:sz w:val="20"/>
        </w:rPr>
      </w:pPr>
      <w:r>
        <w:rPr>
          <w:rFonts w:ascii="Times New Roman" w:hAnsi="Times New Roman"/>
          <w:color w:val="000000"/>
          <w:sz w:val="24"/>
        </w:rPr>
        <w:t>This press release includes financial measures that are not in accordance with U.S. generally accepted accounting principles (“Non-GAAP financial measures”). These Non-GAAP financial measures should be viewed in addition to, and not as a substitute for, MKS’ reported results under U.S. generally accepted accounting principles (“GAAP”), and may be different from Non-GAAP financial measures used by other companies. In addition, these Non-GAAP financial measures are not based on any comprehensive set of accounting rules or principles. MKS management believes the presentation of these Non-GAAP financial measures is useful to investors for comparing prior periods and analyzing ongoing business trends and operating results. For further information regarding these Non-GAAP financial measures, please refer to the tables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4"/>
        </w:rPr>
        <w:t>presenting reconciliations of our Non-GAAP results to our GAAP results and the “Notes on Our Non-GAAP Financial Information” at the end of this press release.</w:t>
      </w:r>
      <w:r>
        <w:rPr>
          <w:rFonts w:ascii="Times New Roman" w:hAnsi="Times New Roman"/>
          <w:color w:val="000000"/>
          <w:sz w:val="20"/>
        </w:rPr>
        <w:t xml:space="preserve"> </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t>SAFE HARBOR FOR FORWARD-LOOKING STATEMENTS</w:t>
      </w:r>
    </w:p>
    <w:p>
      <w:pPr>
        <w:pStyle w:val="TextBody"/>
        <w:bidi w:val="0"/>
        <w:jc w:val="left"/>
        <w:rPr>
          <w:rFonts w:ascii="Times New Roman" w:hAnsi="Times New Roman"/>
          <w:sz w:val="20"/>
        </w:rPr>
      </w:pPr>
      <w:r>
        <w:rPr>
          <w:rFonts w:ascii="Times New Roman" w:hAnsi="Times New Roman"/>
          <w:color w:val="000000"/>
          <w:sz w:val="24"/>
        </w:rPr>
        <w:t>This press release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Inc. (“MKS,” the “Company,” “our,” or “we”).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forward-looking statements. Actual events or results may differ materially from those in the forward-looking statements set forth herein. Among the important factors that could cause actual events to differ materially from those in the forward-looking statements that we make are the level and terms of our substantial indebtedness and our ability to service such debt; risks related to pursuing, completing, and/or failing to realize the benefits of acquisitions and other strategic transactions critical to our growth strategy; risks related to cybersecurity, data privacy and intellectual property; manufacturing and sourcing risks, including supply chain disruptions, component shortages and price increases, the use of limited, sole source and international suppliers, the relocation of manufacturing operations, and product defects; risks associated with doing business internationally, including geopolitical conflicts, trade compliance, trade protection measures, such as import tariffs by the United States and/or retaliatory actions taken by other countries, regulatory restrictions on our products, components or markets, particularly the semiconductor market, and unfavorable currency exchange and tax rate fluctuations; conditions affecting the markets in which we operate, including intense competition, rapid technological and market changes, dependence on new product development, the ability to anticipate and meet customer demand, fluctuations in capital spending in the semiconductor, electronics manufacturing and automotive industries, and fluctuations in sales to our major customers; disruptions or delays from third-party service providers upon which our operations may rely; risks associated with the attraction and retention of key personnel; potential fluctuations in quarterly results; volatility of stock price; risks associated with chemical manufacturing and environmental regulation compliance; risks associated with artificial intelligence (“AI”); financial and legal risk management; and the other important factors described under the heading “Risk Factors” in Part I, Item 1A of our Annual Report on Form 10-K for the year ended December 31, 2025 filed with the U.S. Securities and Exchange Commission and any subsequent Quarterly Reports on Form 10-Q. MKS is under no obligation to, and expressly disclaims any obligation to, update or alter these forward-looking statements, whether as a result of new information, future events or otherwise, even if subsequent events cause our views to change, after the date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of this press release. Amounts reported in this press release are preliminary and subject to finalization prior to the filing of our Quarterly Report on Form 10-Q for the quarter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Company Contact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Paretosh Misra</w:t>
      </w:r>
    </w:p>
    <w:p>
      <w:pPr>
        <w:pStyle w:val="TextBody"/>
        <w:bidi w:val="0"/>
        <w:jc w:val="left"/>
        <w:rPr>
          <w:rFonts w:ascii="Times New Roman" w:hAnsi="Times New Roman"/>
          <w:color w:val="000000"/>
          <w:sz w:val="24"/>
        </w:rPr>
      </w:pPr>
      <w:r>
        <w:rPr>
          <w:rFonts w:ascii="Times New Roman" w:hAnsi="Times New Roman"/>
          <w:color w:val="000000"/>
          <w:sz w:val="24"/>
        </w:rPr>
        <w:t>Vice President, Investor Relations</w:t>
      </w:r>
    </w:p>
    <w:p>
      <w:pPr>
        <w:pStyle w:val="TextBody"/>
        <w:bidi w:val="0"/>
        <w:jc w:val="left"/>
        <w:rPr>
          <w:rFonts w:ascii="Times New Roman" w:hAnsi="Times New Roman"/>
          <w:color w:val="000000"/>
          <w:sz w:val="24"/>
        </w:rPr>
      </w:pPr>
      <w:r>
        <w:rPr>
          <w:rFonts w:ascii="Times New Roman" w:hAnsi="Times New Roman"/>
          <w:color w:val="000000"/>
          <w:sz w:val="24"/>
        </w:rPr>
        <w:t>Telephone: (978) 284-4705</w:t>
      </w:r>
    </w:p>
    <w:p>
      <w:pPr>
        <w:pStyle w:val="TextBody"/>
        <w:bidi w:val="0"/>
        <w:jc w:val="left"/>
        <w:rPr>
          <w:rFonts w:ascii="Times New Roman" w:hAnsi="Times New Roman"/>
          <w:color w:val="000000"/>
          <w:sz w:val="24"/>
        </w:rPr>
      </w:pPr>
      <w:r>
        <w:rPr>
          <w:rFonts w:ascii="Times New Roman" w:hAnsi="Times New Roman"/>
          <w:color w:val="000000"/>
          <w:sz w:val="24"/>
        </w:rPr>
        <w:t>Email: paretosh.misra@mks.com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73"/>
        <w:gridCol w:w="196"/>
        <w:gridCol w:w="511"/>
        <w:gridCol w:w="166"/>
        <w:gridCol w:w="146"/>
        <w:gridCol w:w="220"/>
        <w:gridCol w:w="577"/>
        <w:gridCol w:w="166"/>
        <w:gridCol w:w="146"/>
        <w:gridCol w:w="213"/>
        <w:gridCol w:w="459"/>
        <w:gridCol w:w="166"/>
        <w:gridCol w:w="146"/>
        <w:gridCol w:w="196"/>
        <w:gridCol w:w="511"/>
        <w:gridCol w:w="166"/>
        <w:gridCol w:w="146"/>
        <w:gridCol w:w="196"/>
        <w:gridCol w:w="511"/>
        <w:gridCol w:w="594"/>
      </w:tblGrid>
      <w:tr>
        <w:trPr/>
        <w:tc>
          <w:tcPr>
            <w:tcW w:w="4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net revenues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 (exclusive of amortization shown separately below)</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and 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settlement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per common share:</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 per common share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pPr>
      <w:r>
        <w:rPr/>
        <w:t> </w:t>
      </w:r>
    </w:p>
    <w:tbl>
      <w:tblPr>
        <w:tblW w:w="6872" w:type="dxa"/>
        <w:jc w:val="left"/>
        <w:tblInd w:w="0" w:type="dxa"/>
        <w:tblLayout w:type="fixed"/>
        <w:tblCellMar>
          <w:top w:w="28" w:type="dxa"/>
          <w:left w:w="28" w:type="dxa"/>
          <w:bottom w:w="28" w:type="dxa"/>
          <w:right w:w="28" w:type="dxa"/>
        </w:tblCellMar>
      </w:tblPr>
      <w:tblGrid>
        <w:gridCol w:w="4006"/>
        <w:gridCol w:w="146"/>
        <w:gridCol w:w="211"/>
        <w:gridCol w:w="571"/>
        <w:gridCol w:w="166"/>
        <w:gridCol w:w="146"/>
        <w:gridCol w:w="327"/>
        <w:gridCol w:w="888"/>
        <w:gridCol w:w="4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06"/>
        <w:gridCol w:w="211"/>
        <w:gridCol w:w="481"/>
        <w:gridCol w:w="166"/>
        <w:gridCol w:w="146"/>
        <w:gridCol w:w="211"/>
        <w:gridCol w:w="631"/>
        <w:gridCol w:w="166"/>
        <w:gridCol w:w="146"/>
        <w:gridCol w:w="211"/>
        <w:gridCol w:w="481"/>
        <w:gridCol w:w="166"/>
        <w:gridCol w:w="346"/>
        <w:gridCol w:w="211"/>
        <w:gridCol w:w="631"/>
        <w:gridCol w:w="346"/>
        <w:gridCol w:w="346"/>
        <w:gridCol w:w="211"/>
        <w:gridCol w:w="481"/>
        <w:gridCol w:w="611"/>
      </w:tblGrid>
      <w:tr>
        <w:trPr/>
        <w:tc>
          <w:tcPr>
            <w:tcW w:w="4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(gain) loss on foreign currency and derivative instruments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 and original issue discounts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sale of long-lived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plant and equipment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Repurchase of common 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borrowings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deferred financing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 payments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payments related to employee stock awards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The following supplemental Non-GAAP earnings information is presented to aid in understanding MKS’ operating results:</w:t>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Schedule Reconciling Selected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rPr/>
      </w:pPr>
      <w:r>
        <w:rPr/>
        <w:t> </w:t>
      </w:r>
    </w:p>
    <w:tbl>
      <w:tblPr>
        <w:tblW w:w="9865" w:type="dxa"/>
        <w:jc w:val="left"/>
        <w:tblInd w:w="0" w:type="dxa"/>
        <w:tblLayout w:type="fixed"/>
        <w:tblCellMar>
          <w:top w:w="28" w:type="dxa"/>
          <w:left w:w="28" w:type="dxa"/>
          <w:bottom w:w="28" w:type="dxa"/>
          <w:right w:w="28" w:type="dxa"/>
        </w:tblCellMar>
      </w:tblPr>
      <w:tblGrid>
        <w:gridCol w:w="4171"/>
        <w:gridCol w:w="219"/>
        <w:gridCol w:w="471"/>
        <w:gridCol w:w="256"/>
        <w:gridCol w:w="146"/>
        <w:gridCol w:w="262"/>
        <w:gridCol w:w="563"/>
        <w:gridCol w:w="256"/>
        <w:gridCol w:w="146"/>
        <w:gridCol w:w="219"/>
        <w:gridCol w:w="471"/>
        <w:gridCol w:w="256"/>
        <w:gridCol w:w="146"/>
        <w:gridCol w:w="219"/>
        <w:gridCol w:w="471"/>
        <w:gridCol w:w="256"/>
        <w:gridCol w:w="146"/>
        <w:gridCol w:w="219"/>
        <w:gridCol w:w="471"/>
        <w:gridCol w:w="501"/>
      </w:tblGrid>
      <w:tr>
        <w:trPr/>
        <w:tc>
          <w:tcPr>
            <w:tcW w:w="41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de-designation of interest rate hedges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Non-GAAP adjustments</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earnings</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earnings per diluted share</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diluted shares outstanding</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debt capped calls</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weighted average diluted shares outstanding</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plant and equipment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Free cash flow</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operating expenses</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margin</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income from operations</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operating margin</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de-designation of interest rate hedges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interest expense, net</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 margin</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Schedule Reconciling Selected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55"/>
        <w:gridCol w:w="146"/>
        <w:gridCol w:w="328"/>
        <w:gridCol w:w="630"/>
        <w:gridCol w:w="154"/>
        <w:gridCol w:w="154"/>
        <w:gridCol w:w="412"/>
        <w:gridCol w:w="730"/>
        <w:gridCol w:w="154"/>
        <w:gridCol w:w="154"/>
        <w:gridCol w:w="777"/>
        <w:gridCol w:w="146"/>
        <w:gridCol w:w="317"/>
        <w:gridCol w:w="603"/>
        <w:gridCol w:w="157"/>
        <w:gridCol w:w="157"/>
        <w:gridCol w:w="412"/>
        <w:gridCol w:w="730"/>
        <w:gridCol w:w="157"/>
        <w:gridCol w:w="157"/>
        <w:gridCol w:w="875"/>
      </w:tblGrid>
      <w:tr>
        <w:trPr/>
        <w:tc>
          <w:tcPr>
            <w:tcW w:w="2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6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 March 31, 2026</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Income Before</w:t>
              <w:br/>
              <w:t>Income Taxes</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Income </w:t>
              <w:br/>
              <w:t xml:space="preserve">Before </w:t>
              <w:br/>
              <w:t>Income Taxes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17.7%</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de-designation of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Non-GAAP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20.9%</w:t>
            </w:r>
          </w:p>
        </w:tc>
      </w:tr>
    </w:tbl>
    <w:p>
      <w:pPr>
        <w:pStyle w:val="TextBody"/>
        <w:bidi w:val="0"/>
        <w:jc w:val="center"/>
        <w:rPr/>
      </w:pPr>
      <w:r>
        <w:rPr/>
        <w:t> </w:t>
      </w:r>
    </w:p>
    <w:tbl>
      <w:tblPr>
        <w:tblW w:w="8363" w:type="dxa"/>
        <w:jc w:val="left"/>
        <w:tblInd w:w="0" w:type="dxa"/>
        <w:tblLayout w:type="fixed"/>
        <w:tblCellMar>
          <w:top w:w="28" w:type="dxa"/>
          <w:left w:w="28" w:type="dxa"/>
          <w:bottom w:w="28" w:type="dxa"/>
          <w:right w:w="28" w:type="dxa"/>
        </w:tblCellMar>
      </w:tblPr>
      <w:tblGrid>
        <w:gridCol w:w="3336"/>
        <w:gridCol w:w="146"/>
        <w:gridCol w:w="146"/>
        <w:gridCol w:w="146"/>
        <w:gridCol w:w="146"/>
        <w:gridCol w:w="146"/>
        <w:gridCol w:w="146"/>
        <w:gridCol w:w="146"/>
        <w:gridCol w:w="395"/>
        <w:gridCol w:w="760"/>
        <w:gridCol w:w="156"/>
        <w:gridCol w:w="156"/>
        <w:gridCol w:w="487"/>
        <w:gridCol w:w="863"/>
        <w:gridCol w:w="156"/>
        <w:gridCol w:w="156"/>
        <w:gridCol w:w="876"/>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 June 30, 2025</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Income Before</w:t>
              <w:br/>
              <w:t>Income Taxes</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13.6%</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Non-GAAP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18.2%</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38"/>
        <w:gridCol w:w="146"/>
        <w:gridCol w:w="334"/>
        <w:gridCol w:w="643"/>
        <w:gridCol w:w="147"/>
        <w:gridCol w:w="147"/>
        <w:gridCol w:w="419"/>
        <w:gridCol w:w="743"/>
        <w:gridCol w:w="147"/>
        <w:gridCol w:w="147"/>
        <w:gridCol w:w="747"/>
        <w:gridCol w:w="146"/>
        <w:gridCol w:w="321"/>
        <w:gridCol w:w="616"/>
        <w:gridCol w:w="146"/>
        <w:gridCol w:w="146"/>
        <w:gridCol w:w="419"/>
        <w:gridCol w:w="743"/>
        <w:gridCol w:w="146"/>
        <w:gridCol w:w="146"/>
        <w:gridCol w:w="818"/>
      </w:tblGrid>
      <w:tr>
        <w:trPr/>
        <w:tc>
          <w:tcPr>
            <w:tcW w:w="2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Six Months Ended June 30, 2025</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Income Before</w:t>
              <w:br/>
              <w:t>Income Taxes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Income </w:t>
              <w:br/>
              <w:t xml:space="preserve">Before </w:t>
              <w:br/>
              <w:t>Income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13.0%</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de-designation of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Non-GAAP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19.1%</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Schedule Reconciling Selected Non-GAAP Financial Measures - Q3’26 Guidance</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tbl>
      <w:tblPr>
        <w:tblW w:w="7275" w:type="dxa"/>
        <w:jc w:val="left"/>
        <w:tblInd w:w="0" w:type="dxa"/>
        <w:tblLayout w:type="fixed"/>
        <w:tblCellMar>
          <w:top w:w="28" w:type="dxa"/>
          <w:left w:w="28" w:type="dxa"/>
          <w:bottom w:w="28" w:type="dxa"/>
          <w:right w:w="28" w:type="dxa"/>
        </w:tblCellMar>
      </w:tblPr>
      <w:tblGrid>
        <w:gridCol w:w="3796"/>
        <w:gridCol w:w="432"/>
        <w:gridCol w:w="929"/>
        <w:gridCol w:w="366"/>
        <w:gridCol w:w="432"/>
        <w:gridCol w:w="929"/>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Ending September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Amount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net income and net income per share</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Restructuring and other</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intangible assets</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on extinguishment of debt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debt issuance costs</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Tax effect of Non-GAAP adjustments</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earnings and net earnings per share</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diluted shares</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Convertible debt capped calls</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weighted average diluted shares</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expenses</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Restructuring and other</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intangible assets</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operating expenses</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net income</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MKS Inc.</w:t>
        <w:br/>
        <w:t>Notes on Our Non-GAAP Financial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Non-GAAP financial measures adjust GAAP financial measures for the items listed below. These Non-GAAP financial measures should be viewed in addition to, and not as a substitute for, MKS’ reported GAAP results, and may be different from Non-GAAP financial measures used by other companies. In addition, these Non-GAAP financial measures are not based on any comprehensive set of accounting rules or principles. MKS management believes the presentation of these Non-GAAP financial measures is useful to investors for comparing prior periods and analyzing ongoing business trends and operating results. Totals presented may not sum and percentages may not recalculate using figures presented due to rounding.</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Restructuring and other</w:t>
      </w:r>
      <w:r>
        <w:rPr>
          <w:rFonts w:ascii="Times New Roman" w:hAnsi="Times New Roman"/>
          <w:color w:val="000000"/>
          <w:sz w:val="20"/>
        </w:rPr>
        <w:t xml:space="preserve"> includes incremental expenses incurred in connection with restructuring programs and other strategic initiatives, primarily related to changes in business and/or cost structure. Such costs may include third-party services, one-time termination benefits, facility-related costs, contract termination fees and other items that have no direct correlation to our future business operations.</w:t>
      </w:r>
    </w:p>
    <w:p>
      <w:pPr>
        <w:pStyle w:val="TextBody"/>
        <w:bidi w:val="0"/>
        <w:spacing w:before="0" w:after="120"/>
        <w:jc w:val="left"/>
        <w:rPr>
          <w:rFonts w:ascii="Times New Roman" w:hAnsi="Times New Roman"/>
          <w:sz w:val="20"/>
        </w:rPr>
      </w:pPr>
      <w:r>
        <w:rPr>
          <w:rFonts w:ascii="Times New Roman" w:hAnsi="Times New Roman"/>
          <w:b/>
          <w:color w:val="000000"/>
          <w:sz w:val="20"/>
        </w:rPr>
        <w:t>Legal settlement</w:t>
      </w:r>
      <w:r>
        <w:rPr>
          <w:rFonts w:ascii="Times New Roman" w:hAnsi="Times New Roman"/>
          <w:color w:val="000000"/>
          <w:sz w:val="20"/>
        </w:rPr>
        <w:t xml:space="preserve"> includes charges related to the resolution of legal matters.</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Amortization of intangible assets </w:t>
      </w:r>
      <w:r>
        <w:rPr>
          <w:rFonts w:ascii="Times New Roman" w:hAnsi="Times New Roman"/>
          <w:color w:val="000000"/>
          <w:sz w:val="20"/>
        </w:rPr>
        <w:t>includes non-cash amortization expense associated with intangible assets acquired in acquisitions.</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Loss on extinguishment of debt </w:t>
      </w:r>
      <w:r>
        <w:rPr>
          <w:rFonts w:ascii="Times New Roman" w:hAnsi="Times New Roman"/>
          <w:color w:val="000000"/>
          <w:sz w:val="20"/>
        </w:rPr>
        <w:t xml:space="preserve">includes the non-cash write-off of unamortized debt issuance costs and original issue discount costs incurred from voluntary prepayments, refinancings and/or repricings of our term loan facility. </w:t>
      </w:r>
    </w:p>
    <w:p>
      <w:pPr>
        <w:pStyle w:val="TextBody"/>
        <w:bidi w:val="0"/>
        <w:spacing w:before="0" w:after="120"/>
        <w:jc w:val="left"/>
        <w:rPr>
          <w:rFonts w:ascii="Times New Roman" w:hAnsi="Times New Roman"/>
          <w:sz w:val="20"/>
        </w:rPr>
      </w:pPr>
      <w:r>
        <w:rPr>
          <w:rFonts w:ascii="Times New Roman" w:hAnsi="Times New Roman"/>
          <w:b/>
          <w:color w:val="000000"/>
          <w:sz w:val="20"/>
        </w:rPr>
        <w:t>Amortization of debt issuance costs</w:t>
      </w:r>
      <w:r>
        <w:rPr>
          <w:rFonts w:ascii="Times New Roman" w:hAnsi="Times New Roman"/>
          <w:color w:val="000000"/>
          <w:sz w:val="20"/>
        </w:rPr>
        <w:t xml:space="preserve"> includes non-cash additional interest expense related to the amortization of debt issuance costs associated with our debt. </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Loss from de-designation of interest rate hedges </w:t>
      </w:r>
      <w:r>
        <w:rPr>
          <w:rFonts w:ascii="Times New Roman" w:hAnsi="Times New Roman"/>
          <w:color w:val="000000"/>
          <w:sz w:val="20"/>
        </w:rPr>
        <w:t xml:space="preserve">includes a cash loss from the de-designation of certain interest rate hedges in connection with the voluntary prepayment of the USD term loan B. </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Fees and expenses related to debt activities </w:t>
      </w:r>
      <w:r>
        <w:rPr>
          <w:rFonts w:ascii="Times New Roman" w:hAnsi="Times New Roman"/>
          <w:color w:val="000000"/>
          <w:sz w:val="20"/>
        </w:rPr>
        <w:t xml:space="preserve">includes direct third-party costs related to repricings or refinancings of our term loan facility and the issuance of our €1.0 billion of senior notes due 2034 in February 2026. </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Convertible debt capped calls </w:t>
      </w:r>
      <w:r>
        <w:rPr>
          <w:rFonts w:ascii="Times New Roman" w:hAnsi="Times New Roman"/>
          <w:color w:val="000000"/>
          <w:sz w:val="20"/>
        </w:rPr>
        <w:t>includes the antidilutive impact of the capped call transactions entered into in connection with the issuance of $1.4 billion of convertible senior notes in May 2024. The capped calls are designed to reduce potential dilution to the Company’s common stock and/or offset cash payments in excess of the principal upon conversion of the notes, subject to a cap. Because the capped calls are excluded from GAAP diluted share calculations, GAAP and Non</w:t>
        <w:noBreakHyphen/>
        <w:t>GAAP diluted share counts will differ.</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Tax effect of Non-GAAP adjustments </w:t>
      </w:r>
      <w:r>
        <w:rPr>
          <w:rFonts w:ascii="Times New Roman" w:hAnsi="Times New Roman"/>
          <w:color w:val="000000"/>
          <w:sz w:val="20"/>
        </w:rPr>
        <w:t xml:space="preserve">includes the impact of Non-GAAP adjustments that are tax effected at applicable statutory rates resulting in a difference between the GAAP and Non-GAAP tax rates.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4329</Words>
  <Characters>22045</Characters>
  <CharactersWithSpaces>27471</CharactersWithSpaces>
  <Paragraphs>3817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