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ksi-20260630.htm"/>
      <w:bookmarkStart w:id="1" w:name="ksmksi20260630"/>
      <w:bookmarkEnd w:id="0"/>
      <w:bookmarkEnd w:id="1"/>
      <w:r>
        <w:rPr/>
        <w:t> </w:t>
      </w:r>
    </w:p>
    <w:p>
      <w:pPr>
        <w:pStyle w:val="TextBody"/>
        <w:pBdr>
          <w:top w:val="double" w:sz="4" w:space="1" w:color="000000"/>
        </w:pBdr>
        <w:bidi w:val="0"/>
        <w:jc w:val="both"/>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Heading1"/>
        <w:bidi w:val="0"/>
        <w:spacing w:before="6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10-Q</w:t>
      </w:r>
    </w:p>
    <w:p>
      <w:pPr>
        <w:pStyle w:val="TextBody"/>
        <w:bidi w:val="0"/>
        <w:spacing w:before="60" w:after="283"/>
        <w:jc w:val="left"/>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 xml:space="preserve">Commission file number </w:t>
      </w:r>
      <w:r>
        <w:rPr>
          <w:rFonts w:ascii="Times New Roman" w:hAnsi="Times New Roman"/>
          <w:b/>
          <w:color w:val="000000"/>
          <w:sz w:val="20"/>
          <w:u w:val="single"/>
        </w:rPr>
        <w:t>0-23621</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MKS INC.</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jc w:val="left"/>
        <w:rPr/>
      </w:pPr>
      <w:r>
        <w:rPr/>
        <w:t> </w:t>
      </w:r>
    </w:p>
    <w:tbl>
      <w:tblPr>
        <w:tblW w:w="4817" w:type="dxa"/>
        <w:jc w:val="left"/>
        <w:tblInd w:w="0" w:type="dxa"/>
        <w:tblLayout w:type="fixed"/>
        <w:tblCellMar>
          <w:top w:w="28" w:type="dxa"/>
          <w:left w:w="28" w:type="dxa"/>
          <w:bottom w:w="28" w:type="dxa"/>
          <w:right w:w="28" w:type="dxa"/>
        </w:tblCellMar>
      </w:tblPr>
      <w:tblGrid>
        <w:gridCol w:w="3331"/>
        <w:gridCol w:w="1486"/>
      </w:tblGrid>
      <w:tr>
        <w:trPr/>
        <w:tc>
          <w:tcPr>
            <w:tcW w:w="333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3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Massachusetts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04-2277512</w:t>
            </w:r>
          </w:p>
        </w:tc>
      </w:tr>
      <w:tr>
        <w:trPr/>
        <w:tc>
          <w:tcPr>
            <w:tcW w:w="33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r>
          </w:p>
        </w:tc>
      </w:tr>
      <w:tr>
        <w:trPr/>
        <w:tc>
          <w:tcPr>
            <w:tcW w:w="33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incorporation or organization)</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3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3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 Tech Drive, Andover, Massachusetts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01810</w:t>
            </w:r>
          </w:p>
        </w:tc>
      </w:tr>
      <w:tr>
        <w:trPr/>
        <w:tc>
          <w:tcPr>
            <w:tcW w:w="33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 xml:space="preserve">Registrant’s telephone number, including area code </w:t>
      </w:r>
      <w:r>
        <w:rPr>
          <w:rFonts w:ascii="Times New Roman" w:hAnsi="Times New Roman"/>
          <w:b/>
          <w:color w:val="000000"/>
          <w:sz w:val="20"/>
          <w:u w:val="single"/>
        </w:rPr>
        <w:t>(978) 645-5500</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290" w:type="dxa"/>
        <w:jc w:val="left"/>
        <w:tblInd w:w="0" w:type="dxa"/>
        <w:tblLayout w:type="fixed"/>
        <w:tblCellMar>
          <w:top w:w="28" w:type="dxa"/>
          <w:left w:w="28" w:type="dxa"/>
          <w:bottom w:w="28" w:type="dxa"/>
          <w:right w:w="28" w:type="dxa"/>
        </w:tblCellMar>
      </w:tblPr>
      <w:tblGrid>
        <w:gridCol w:w="2476"/>
        <w:gridCol w:w="146"/>
        <w:gridCol w:w="1696"/>
        <w:gridCol w:w="146"/>
        <w:gridCol w:w="3826"/>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4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2476" w:type="dxa"/>
            <w:tcBorders/>
            <w:tcMar>
              <w:top w:w="0" w:type="dxa"/>
              <w:left w:w="0" w:type="dxa"/>
              <w:bottom w:w="0" w:type="dxa"/>
              <w:right w:w="0" w:type="dxa"/>
            </w:tcMar>
            <w:vAlign w:val="center"/>
          </w:tcPr>
          <w:p>
            <w:pPr>
              <w:pStyle w:val="TableContents"/>
              <w:bidi w:val="0"/>
              <w:spacing w:before="20" w:after="283"/>
              <w:jc w:val="center"/>
              <w:rPr>
                <w:rFonts w:ascii="Times New Roman" w:hAnsi="Times New Roman"/>
                <w:color w:val="000000"/>
                <w:sz w:val="20"/>
              </w:rPr>
            </w:pPr>
            <w:r>
              <w:rPr>
                <w:rFonts w:ascii="Times New Roman" w:hAnsi="Times New Roman"/>
                <w:color w:val="000000"/>
                <w:sz w:val="20"/>
              </w:rPr>
              <w:t>Common Stock, no par value</w:t>
            </w:r>
          </w:p>
        </w:tc>
        <w:tc>
          <w:tcPr>
            <w:tcW w:w="146" w:type="dxa"/>
            <w:tcBorders/>
            <w:tcMar>
              <w:top w:w="0" w:type="dxa"/>
              <w:left w:w="0" w:type="dxa"/>
              <w:bottom w:w="0" w:type="dxa"/>
              <w:right w:w="0" w:type="dxa"/>
            </w:tcMar>
            <w:vAlign w:val="center"/>
          </w:tcPr>
          <w:p>
            <w:pPr>
              <w:pStyle w:val="TableContents"/>
              <w:bidi w:val="0"/>
              <w:spacing w:before="20" w:after="283"/>
              <w:jc w:val="center"/>
              <w:rPr/>
            </w:pPr>
            <w:r>
              <w:rPr/>
              <w:t> </w:t>
            </w:r>
          </w:p>
        </w:tc>
        <w:tc>
          <w:tcPr>
            <w:tcW w:w="1696" w:type="dxa"/>
            <w:tcBorders/>
            <w:tcMar>
              <w:top w:w="0" w:type="dxa"/>
              <w:left w:w="0" w:type="dxa"/>
              <w:bottom w:w="0" w:type="dxa"/>
              <w:right w:w="0" w:type="dxa"/>
            </w:tcMar>
            <w:vAlign w:val="center"/>
          </w:tcPr>
          <w:p>
            <w:pPr>
              <w:pStyle w:val="TableContents"/>
              <w:bidi w:val="0"/>
              <w:spacing w:before="20" w:after="283"/>
              <w:jc w:val="center"/>
              <w:rPr>
                <w:rFonts w:ascii="Times New Roman" w:hAnsi="Times New Roman"/>
                <w:color w:val="000000"/>
                <w:sz w:val="20"/>
              </w:rPr>
            </w:pPr>
            <w:r>
              <w:rPr>
                <w:rFonts w:ascii="Times New Roman" w:hAnsi="Times New Roman"/>
                <w:color w:val="000000"/>
                <w:sz w:val="20"/>
              </w:rPr>
              <w:t>MKSI</w:t>
            </w:r>
          </w:p>
        </w:tc>
        <w:tc>
          <w:tcPr>
            <w:tcW w:w="146" w:type="dxa"/>
            <w:tcBorders/>
            <w:tcMar>
              <w:top w:w="0" w:type="dxa"/>
              <w:left w:w="0" w:type="dxa"/>
              <w:bottom w:w="0" w:type="dxa"/>
              <w:right w:w="0" w:type="dxa"/>
            </w:tcMar>
            <w:vAlign w:val="center"/>
          </w:tcPr>
          <w:p>
            <w:pPr>
              <w:pStyle w:val="TableContents"/>
              <w:bidi w:val="0"/>
              <w:spacing w:before="2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2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both"/>
        <w:rPr/>
      </w:pPr>
      <w:r>
        <w:rPr/>
        <w:t> </w:t>
      </w:r>
    </w:p>
    <w:tbl>
      <w:tblPr>
        <w:tblW w:w="5347" w:type="dxa"/>
        <w:jc w:val="left"/>
        <w:tblInd w:w="0" w:type="dxa"/>
        <w:tblLayout w:type="fixed"/>
        <w:tblCellMar>
          <w:top w:w="28" w:type="dxa"/>
          <w:left w:w="28" w:type="dxa"/>
          <w:bottom w:w="28" w:type="dxa"/>
          <w:right w:w="28" w:type="dxa"/>
        </w:tblCellMar>
      </w:tblPr>
      <w:tblGrid>
        <w:gridCol w:w="1921"/>
        <w:gridCol w:w="146"/>
        <w:gridCol w:w="316"/>
        <w:gridCol w:w="146"/>
        <w:gridCol w:w="2311"/>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As of July 28, 2026, the registrant had 67,617,558 shares of common stock outstanding.</w:t>
      </w:r>
    </w:p>
    <w:p>
      <w:pPr>
        <w:pStyle w:val="TextBody"/>
        <w:pBdr>
          <w:bottom w:val="double" w:sz="4" w:space="1" w:color="000000"/>
        </w:pBdr>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MKS INC.</w:t>
      </w:r>
    </w:p>
    <w:p>
      <w:pPr>
        <w:pStyle w:val="TextBody"/>
        <w:bidi w:val="0"/>
        <w:jc w:val="center"/>
        <w:rPr>
          <w:rFonts w:ascii="Times New Roman" w:hAnsi="Times New Roman"/>
          <w:color w:val="000000"/>
          <w:sz w:val="20"/>
        </w:rPr>
      </w:pPr>
      <w:r>
        <w:rPr>
          <w:rFonts w:ascii="Times New Roman" w:hAnsi="Times New Roman"/>
          <w:color w:val="000000"/>
          <w:sz w:val="20"/>
        </w:rPr>
        <w:t>FORM 10-Q</w:t>
      </w:r>
    </w:p>
    <w:p>
      <w:pPr>
        <w:pStyle w:val="TextBody"/>
        <w:bidi w:val="0"/>
        <w:jc w:val="center"/>
        <w:rPr>
          <w:rFonts w:ascii="Times New Roman" w:hAnsi="Times New Roman"/>
          <w:color w:val="000000"/>
          <w:sz w:val="20"/>
        </w:rPr>
      </w:pPr>
      <w:r>
        <w:rPr>
          <w:rFonts w:ascii="Times New Roman" w:hAnsi="Times New Roman"/>
          <w:color w:val="000000"/>
          <w:sz w:val="20"/>
        </w:rPr>
        <w:t>INDEX</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1"/>
        <w:gridCol w:w="823"/>
        <w:gridCol w:w="8859"/>
        <w:gridCol w:w="362"/>
      </w:tblGrid>
      <w:tr>
        <w:trPr/>
        <w:tc>
          <w:tcPr>
            <w:tcW w:w="16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8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10205" w:type="dxa"/>
            <w:gridSpan w:val="4"/>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rPr>
                <w:t>PART I. FINANCIAL INFORMATION</w:t>
              </w:r>
            </w:hyperlink>
          </w:p>
        </w:tc>
      </w:tr>
      <w:tr>
        <w:trPr/>
        <w:tc>
          <w:tcPr>
            <w:tcW w:w="10205"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8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ITEM 1.</w:t>
            </w:r>
          </w:p>
        </w:tc>
        <w:tc>
          <w:tcPr>
            <w:tcW w:w="8859"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rPr>
                <w:t>FINANCIAL STATEMENTS (Unaudited)</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823" w:type="dxa"/>
            <w:tcBorders/>
            <w:tcMar>
              <w:top w:w="0" w:type="dxa"/>
              <w:left w:w="0" w:type="dxa"/>
              <w:bottom w:w="0" w:type="dxa"/>
              <w:right w:w="0" w:type="dxa"/>
            </w:tcMar>
            <w:vAlign w:val="center"/>
          </w:tcPr>
          <w:p>
            <w:pPr>
              <w:pStyle w:val="TableContents"/>
              <w:bidi w:val="0"/>
              <w:spacing w:before="0" w:after="283"/>
              <w:jc w:val="left"/>
              <w:rPr/>
            </w:pPr>
            <w:r>
              <w:rPr/>
              <w:t> </w:t>
            </w:r>
          </w:p>
        </w:tc>
        <w:tc>
          <w:tcPr>
            <w:tcW w:w="8859" w:type="dxa"/>
            <w:tcBorders/>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823" w:type="dxa"/>
            <w:tcBorders/>
            <w:tcMar>
              <w:top w:w="0" w:type="dxa"/>
              <w:left w:w="0" w:type="dxa"/>
              <w:bottom w:w="0" w:type="dxa"/>
              <w:right w:w="0" w:type="dxa"/>
            </w:tcMar>
            <w:vAlign w:val="center"/>
          </w:tcPr>
          <w:p>
            <w:pPr>
              <w:pStyle w:val="TableContents"/>
              <w:bidi w:val="0"/>
              <w:spacing w:before="0" w:after="283"/>
              <w:jc w:val="left"/>
              <w:rPr/>
            </w:pPr>
            <w:r>
              <w:rPr/>
              <w:t> </w:t>
            </w:r>
          </w:p>
        </w:tc>
        <w:tc>
          <w:tcPr>
            <w:tcW w:w="8859"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rPr>
                <w:t>Condensed Consolidated Balance Sheets – June 30, 2026 and December 31, 2025</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10205" w:type="dxa"/>
            <w:gridSpan w:val="4"/>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823" w:type="dxa"/>
            <w:tcBorders/>
            <w:tcMar>
              <w:top w:w="0" w:type="dxa"/>
              <w:left w:w="0" w:type="dxa"/>
              <w:bottom w:w="0" w:type="dxa"/>
              <w:right w:w="0" w:type="dxa"/>
            </w:tcMar>
            <w:vAlign w:val="center"/>
          </w:tcPr>
          <w:p>
            <w:pPr>
              <w:pStyle w:val="TableContents"/>
              <w:bidi w:val="0"/>
              <w:spacing w:before="0" w:after="283"/>
              <w:jc w:val="left"/>
              <w:rPr/>
            </w:pPr>
            <w:r>
              <w:rPr/>
              <w:t> </w:t>
            </w:r>
          </w:p>
        </w:tc>
        <w:tc>
          <w:tcPr>
            <w:tcW w:w="8859"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Times New Roman" w:hAnsi="Times New Roman"/>
                  <w:color w:val="000080"/>
                  <w:sz w:val="20"/>
                </w:rPr>
                <w:t xml:space="preserve">Condensed Consolidated Statements of Operations and Comprehensive </w:t>
              </w:r>
            </w:hyperlink>
            <w:hyperlink w:anchor="condensed_consolidated_statements_operat">
              <w:r>
                <w:rPr>
                  <w:rStyle w:val="InternetLink"/>
                  <w:rFonts w:ascii="Times New Roman" w:hAnsi="Times New Roman"/>
                  <w:color w:val="000080"/>
                  <w:sz w:val="20"/>
                </w:rPr>
                <w:t>Income (Loss)</w:t>
              </w:r>
            </w:hyperlink>
            <w:hyperlink w:anchor="condensed_consolidated_statements_operat">
              <w:r>
                <w:rPr>
                  <w:rStyle w:val="InternetLink"/>
                  <w:rFonts w:ascii="Times New Roman" w:hAnsi="Times New Roman"/>
                  <w:color w:val="000080"/>
                  <w:sz w:val="20"/>
                </w:rPr>
                <w:t xml:space="preserve"> </w:t>
              </w:r>
            </w:hyperlink>
            <w:hyperlink w:anchor="condensed_consolidated_statements_operat">
              <w:r>
                <w:rPr>
                  <w:rStyle w:val="InternetLink"/>
                  <w:rFonts w:ascii="Times New Roman" w:hAnsi="Times New Roman"/>
                  <w:color w:val="000080"/>
                  <w:sz w:val="20"/>
                </w:rPr>
                <w:t>– Three and Six Months Ended June 30, 2026 and 2025</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10205" w:type="dxa"/>
            <w:gridSpan w:val="4"/>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823" w:type="dxa"/>
            <w:tcBorders/>
            <w:tcMar>
              <w:top w:w="0" w:type="dxa"/>
              <w:left w:w="0" w:type="dxa"/>
              <w:bottom w:w="0" w:type="dxa"/>
              <w:right w:w="0" w:type="dxa"/>
            </w:tcMar>
            <w:vAlign w:val="center"/>
          </w:tcPr>
          <w:p>
            <w:pPr>
              <w:pStyle w:val="TableContents"/>
              <w:bidi w:val="0"/>
              <w:spacing w:before="0" w:after="283"/>
              <w:jc w:val="left"/>
              <w:rPr/>
            </w:pPr>
            <w:r>
              <w:rPr/>
              <w:t> </w:t>
            </w:r>
          </w:p>
        </w:tc>
        <w:tc>
          <w:tcPr>
            <w:tcW w:w="8859"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stockh">
              <w:r>
                <w:rPr>
                  <w:rStyle w:val="InternetLink"/>
                  <w:rFonts w:ascii="Times New Roman" w:hAnsi="Times New Roman"/>
                  <w:color w:val="0000FF"/>
                  <w:sz w:val="20"/>
                </w:rPr>
                <w:t>Condensed Consolidated Statements of Stockholders’ Equity – Three and Six Months Ended June 30, 2026 and 2025</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10205" w:type="dxa"/>
            <w:gridSpan w:val="4"/>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823" w:type="dxa"/>
            <w:tcBorders/>
            <w:tcMar>
              <w:top w:w="0" w:type="dxa"/>
              <w:left w:w="0" w:type="dxa"/>
              <w:bottom w:w="0" w:type="dxa"/>
              <w:right w:w="0" w:type="dxa"/>
            </w:tcMar>
            <w:vAlign w:val="center"/>
          </w:tcPr>
          <w:p>
            <w:pPr>
              <w:pStyle w:val="TableContents"/>
              <w:bidi w:val="0"/>
              <w:spacing w:before="0" w:after="283"/>
              <w:jc w:val="left"/>
              <w:rPr/>
            </w:pPr>
            <w:r>
              <w:rPr/>
              <w:t> </w:t>
            </w:r>
          </w:p>
        </w:tc>
        <w:tc>
          <w:tcPr>
            <w:tcW w:w="8859"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FF"/>
                  <w:sz w:val="20"/>
                </w:rPr>
                <w:t>Condensed Consolidated Statements of Cash Flows – Six Months Ended June 30, 2026 and 2025</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10205" w:type="dxa"/>
            <w:gridSpan w:val="4"/>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823" w:type="dxa"/>
            <w:tcBorders/>
            <w:tcMar>
              <w:top w:w="0" w:type="dxa"/>
              <w:left w:w="0" w:type="dxa"/>
              <w:bottom w:w="0" w:type="dxa"/>
              <w:right w:w="0" w:type="dxa"/>
            </w:tcMar>
            <w:vAlign w:val="center"/>
          </w:tcPr>
          <w:p>
            <w:pPr>
              <w:pStyle w:val="TableContents"/>
              <w:bidi w:val="0"/>
              <w:spacing w:before="0" w:after="283"/>
              <w:jc w:val="left"/>
              <w:rPr/>
            </w:pPr>
            <w:r>
              <w:rPr/>
              <w:t> </w:t>
            </w:r>
          </w:p>
        </w:tc>
        <w:tc>
          <w:tcPr>
            <w:tcW w:w="8859" w:type="dxa"/>
            <w:tcBorders/>
            <w:tcMar>
              <w:top w:w="0" w:type="dxa"/>
              <w:left w:w="0" w:type="dxa"/>
              <w:bottom w:w="0" w:type="dxa"/>
              <w:right w:w="0" w:type="dxa"/>
            </w:tcMar>
            <w:vAlign w:val="center"/>
          </w:tcPr>
          <w:p>
            <w:pPr>
              <w:pStyle w:val="TableContents"/>
              <w:bidi w:val="0"/>
              <w:spacing w:before="0" w:after="283"/>
              <w:jc w:val="left"/>
              <w:rPr/>
            </w:pPr>
            <w:hyperlink w:anchor="basis_presentation">
              <w:r>
                <w:rPr>
                  <w:rStyle w:val="InternetLink"/>
                  <w:rFonts w:ascii="Times New Roman" w:hAnsi="Times New Roman"/>
                  <w:color w:val="0000FF"/>
                  <w:sz w:val="20"/>
                </w:rPr>
                <w:t>Notes to Unaudited Condensed Consolidated Financial Statements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10205" w:type="dxa"/>
            <w:gridSpan w:val="4"/>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8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ITEM 2.</w:t>
            </w:r>
          </w:p>
        </w:tc>
        <w:tc>
          <w:tcPr>
            <w:tcW w:w="8859"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rPr>
                <w:t>MANAGEMENT’S DISCUSSION AND ANALYSIS OF FINANCIAL CONDITION AND RESULTS OF OPERATIONS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10205"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8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ITEM 3.</w:t>
            </w:r>
          </w:p>
        </w:tc>
        <w:tc>
          <w:tcPr>
            <w:tcW w:w="8859"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rPr>
                <w:t>QUANTITATIVE AND QUALITATIVE DISCLOSURES ABOUT MARKET RISK</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10205"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8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ITEM 4.</w:t>
            </w:r>
          </w:p>
        </w:tc>
        <w:tc>
          <w:tcPr>
            <w:tcW w:w="8859" w:type="dxa"/>
            <w:tcBorders/>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rPr>
                <w:t>CONTROLS AND PROCEDURES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10205" w:type="dxa"/>
            <w:gridSpan w:val="4"/>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05" w:type="dxa"/>
            <w:gridSpan w:val="4"/>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color w:val="0000FF"/>
                  <w:sz w:val="20"/>
                </w:rPr>
                <w:t>PART II. OTHER INFORMATION</w:t>
              </w:r>
            </w:hyperlink>
          </w:p>
        </w:tc>
      </w:tr>
      <w:tr>
        <w:trPr/>
        <w:tc>
          <w:tcPr>
            <w:tcW w:w="10205" w:type="dxa"/>
            <w:gridSpan w:val="4"/>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8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ITEM 1A.</w:t>
            </w:r>
          </w:p>
        </w:tc>
        <w:tc>
          <w:tcPr>
            <w:tcW w:w="8859"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rPr>
                <w:t>RISK FACTORS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823" w:type="dxa"/>
            <w:tcBorders/>
            <w:tcMar>
              <w:top w:w="0" w:type="dxa"/>
              <w:left w:w="0" w:type="dxa"/>
              <w:bottom w:w="0" w:type="dxa"/>
              <w:right w:w="0" w:type="dxa"/>
            </w:tcMar>
            <w:vAlign w:val="center"/>
          </w:tcPr>
          <w:p>
            <w:pPr>
              <w:pStyle w:val="TableContents"/>
              <w:bidi w:val="0"/>
              <w:spacing w:before="0" w:after="283"/>
              <w:jc w:val="left"/>
              <w:rPr/>
            </w:pPr>
            <w:r>
              <w:rPr/>
              <w:t> </w:t>
            </w:r>
          </w:p>
        </w:tc>
        <w:tc>
          <w:tcPr>
            <w:tcW w:w="8859" w:type="dxa"/>
            <w:tcBorders/>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8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ITEM 5.</w:t>
            </w:r>
          </w:p>
        </w:tc>
        <w:tc>
          <w:tcPr>
            <w:tcW w:w="8859"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rPr>
                <w:t>OTHER INFORMATION</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823" w:type="dxa"/>
            <w:tcBorders/>
            <w:tcMar>
              <w:top w:w="0" w:type="dxa"/>
              <w:left w:w="0" w:type="dxa"/>
              <w:bottom w:w="0" w:type="dxa"/>
              <w:right w:w="0" w:type="dxa"/>
            </w:tcMar>
            <w:vAlign w:val="center"/>
          </w:tcPr>
          <w:p>
            <w:pPr>
              <w:pStyle w:val="TableContents"/>
              <w:bidi w:val="0"/>
              <w:spacing w:before="0" w:after="283"/>
              <w:jc w:val="left"/>
              <w:rPr/>
            </w:pPr>
            <w:r>
              <w:rPr/>
              <w:t> </w:t>
            </w:r>
          </w:p>
        </w:tc>
        <w:tc>
          <w:tcPr>
            <w:tcW w:w="8859" w:type="dxa"/>
            <w:tcBorders/>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8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ITEM 6.</w:t>
            </w:r>
          </w:p>
        </w:tc>
        <w:tc>
          <w:tcPr>
            <w:tcW w:w="8859"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rPr>
                <w:t>EXHIBITS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823" w:type="dxa"/>
            <w:tcBorders/>
            <w:tcMar>
              <w:top w:w="0" w:type="dxa"/>
              <w:left w:w="0" w:type="dxa"/>
              <w:bottom w:w="0" w:type="dxa"/>
              <w:right w:w="0" w:type="dxa"/>
            </w:tcMar>
            <w:vAlign w:val="center"/>
          </w:tcPr>
          <w:p>
            <w:pPr>
              <w:pStyle w:val="TableContents"/>
              <w:bidi w:val="0"/>
              <w:spacing w:before="0" w:after="283"/>
              <w:jc w:val="left"/>
              <w:rPr/>
            </w:pPr>
            <w:r>
              <w:rPr/>
              <w:t> </w:t>
            </w:r>
          </w:p>
        </w:tc>
        <w:tc>
          <w:tcPr>
            <w:tcW w:w="8859" w:type="dxa"/>
            <w:tcBorders/>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3" w:type="dxa"/>
            <w:gridSpan w:val="3"/>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rPr>
                <w:t>SIGNATURES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bl>
    <w:p>
      <w:pPr>
        <w:pStyle w:val="TextBody"/>
        <w:bidi w:val="0"/>
        <w:jc w:val="both"/>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bookmarkStart w:id="2" w:name="part_i_financial_information"/>
      <w:bookmarkEnd w:id="2"/>
      <w:r>
        <w:rPr>
          <w:rFonts w:ascii="Times New Roman" w:hAnsi="Times New Roman"/>
          <w:color w:val="000000"/>
          <w:sz w:val="20"/>
        </w:rPr>
        <w:t>PART I. FINANCIAL INFORMATION</w:t>
      </w:r>
    </w:p>
    <w:p>
      <w:pPr>
        <w:pStyle w:val="TextBody"/>
        <w:bidi w:val="0"/>
        <w:jc w:val="both"/>
        <w:rPr/>
      </w:pPr>
      <w:r>
        <w:rPr/>
        <w:t> </w:t>
      </w:r>
    </w:p>
    <w:p>
      <w:pPr>
        <w:pStyle w:val="TextBody"/>
        <w:bidi w:val="0"/>
        <w:jc w:val="both"/>
        <w:rPr>
          <w:rFonts w:ascii="Times New Roman" w:hAnsi="Times New Roman"/>
          <w:color w:val="000000"/>
          <w:sz w:val="20"/>
        </w:rPr>
      </w:pPr>
      <w:bookmarkStart w:id="3" w:name="item_1_financial_statements"/>
      <w:bookmarkEnd w:id="3"/>
      <w:r>
        <w:rPr>
          <w:rFonts w:ascii="Times New Roman" w:hAnsi="Times New Roman"/>
          <w:color w:val="000000"/>
          <w:sz w:val="20"/>
        </w:rPr>
        <w:t>ITEM 1. FINANCIAL STATEMENTS.</w:t>
      </w:r>
    </w:p>
    <w:p>
      <w:pPr>
        <w:pStyle w:val="TextBody"/>
        <w:bidi w:val="0"/>
        <w:jc w:val="center"/>
        <w:rPr>
          <w:rFonts w:ascii="Times New Roman" w:hAnsi="Times New Roman"/>
          <w:color w:val="000000"/>
          <w:sz w:val="20"/>
        </w:rPr>
      </w:pPr>
      <w:r>
        <w:rPr>
          <w:rFonts w:ascii="Times New Roman" w:hAnsi="Times New Roman"/>
          <w:color w:val="000000"/>
          <w:sz w:val="20"/>
        </w:rPr>
        <w:t>MKS INC.</w:t>
      </w:r>
    </w:p>
    <w:p>
      <w:pPr>
        <w:pStyle w:val="TextBody"/>
        <w:bidi w:val="0"/>
        <w:jc w:val="center"/>
        <w:rPr>
          <w:rFonts w:ascii="Times New Roman" w:hAnsi="Times New Roman"/>
          <w:color w:val="000000"/>
          <w:sz w:val="20"/>
        </w:rPr>
      </w:pPr>
      <w:bookmarkStart w:id="4" w:name="condensed_consolidated_balance_sheets"/>
      <w:bookmarkEnd w:id="4"/>
      <w:r>
        <w:rPr>
          <w:rFonts w:ascii="Times New Roman" w:hAnsi="Times New Roman"/>
          <w:color w:val="000000"/>
          <w:sz w:val="20"/>
        </w:rPr>
        <w:t>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(in millions, except per share data)</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98"/>
        <w:gridCol w:w="146"/>
        <w:gridCol w:w="250"/>
        <w:gridCol w:w="678"/>
        <w:gridCol w:w="166"/>
        <w:gridCol w:w="146"/>
        <w:gridCol w:w="303"/>
        <w:gridCol w:w="825"/>
        <w:gridCol w:w="793"/>
      </w:tblGrid>
      <w:tr>
        <w:trPr/>
        <w:tc>
          <w:tcPr>
            <w:tcW w:w="6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 2025</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Trade accounts receivable, net of allowance for doubtful accounts of $6 and $5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8,796</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4,150</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deferred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6,077</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$0.01 par value, 2 shares authorized; no shares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no par value, 200 shares authorized; 67.6 and 67.2 shares 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2,719</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8,796</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 unaudited condensed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MKS INC.</w:t>
      </w:r>
    </w:p>
    <w:p>
      <w:pPr>
        <w:pStyle w:val="TextBody"/>
        <w:bidi w:val="0"/>
        <w:jc w:val="center"/>
        <w:rPr>
          <w:rFonts w:ascii="Times New Roman" w:hAnsi="Times New Roman"/>
          <w:color w:val="000000"/>
          <w:sz w:val="20"/>
        </w:rPr>
      </w:pPr>
      <w:bookmarkStart w:id="5" w:name="condensed_consolidated_statements_operat"/>
      <w:bookmarkEnd w:id="5"/>
      <w:r>
        <w:rPr>
          <w:rFonts w:ascii="Times New Roman" w:hAnsi="Times New Roman"/>
          <w:color w:val="000000"/>
          <w:sz w:val="20"/>
        </w:rPr>
        <w:t>CONDENSED CONSOLIDATED STATEMENTS OF OPERATIONS</w:t>
      </w:r>
    </w:p>
    <w:p>
      <w:pPr>
        <w:pStyle w:val="TextBody"/>
        <w:bidi w:val="0"/>
        <w:jc w:val="center"/>
        <w:rPr>
          <w:rFonts w:ascii="Times New Roman" w:hAnsi="Times New Roman"/>
          <w:color w:val="000000"/>
          <w:sz w:val="20"/>
        </w:rPr>
      </w:pPr>
      <w:r>
        <w:rPr>
          <w:rFonts w:ascii="Times New Roman" w:hAnsi="Times New Roman"/>
          <w:color w:val="000000"/>
          <w:sz w:val="20"/>
        </w:rPr>
        <w:t>AND COMPREHENSIVE INCOME (LOSS)</w:t>
      </w:r>
    </w:p>
    <w:p>
      <w:pPr>
        <w:pStyle w:val="TextBody"/>
        <w:bidi w:val="0"/>
        <w:jc w:val="center"/>
        <w:rPr>
          <w:rFonts w:ascii="Times New Roman" w:hAnsi="Times New Roman"/>
          <w:color w:val="000000"/>
          <w:sz w:val="20"/>
        </w:rPr>
      </w:pPr>
      <w:r>
        <w:rPr>
          <w:rFonts w:ascii="Times New Roman" w:hAnsi="Times New Roman"/>
          <w:color w:val="000000"/>
          <w:sz w:val="20"/>
        </w:rPr>
        <w:t>(in millions, except per share data)</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9582" w:type="dxa"/>
        <w:jc w:val="left"/>
        <w:tblInd w:w="0" w:type="dxa"/>
        <w:tblLayout w:type="fixed"/>
        <w:tblCellMar>
          <w:top w:w="28" w:type="dxa"/>
          <w:left w:w="28" w:type="dxa"/>
          <w:bottom w:w="28" w:type="dxa"/>
          <w:right w:w="28" w:type="dxa"/>
        </w:tblCellMar>
      </w:tblPr>
      <w:tblGrid>
        <w:gridCol w:w="5371"/>
        <w:gridCol w:w="146"/>
        <w:gridCol w:w="196"/>
        <w:gridCol w:w="511"/>
        <w:gridCol w:w="166"/>
        <w:gridCol w:w="146"/>
        <w:gridCol w:w="196"/>
        <w:gridCol w:w="421"/>
        <w:gridCol w:w="166"/>
        <w:gridCol w:w="146"/>
        <w:gridCol w:w="196"/>
        <w:gridCol w:w="511"/>
        <w:gridCol w:w="166"/>
        <w:gridCol w:w="146"/>
        <w:gridCol w:w="196"/>
        <w:gridCol w:w="511"/>
        <w:gridCol w:w="391"/>
      </w:tblGrid>
      <w:tr>
        <w:trPr/>
        <w:tc>
          <w:tcPr>
            <w:tcW w:w="5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net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cost of revenues (exclusive of amortization shown separately below)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Restructuring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Legal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Fees and expenses related to debt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value of financial instruments designated as cash flow</w:t>
              <w:br/>
              <w:t>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net investment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Unrecognized pension (loss)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 unaudited condensed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MKS INC.</w:t>
      </w:r>
    </w:p>
    <w:p>
      <w:pPr>
        <w:pStyle w:val="TextBody"/>
        <w:bidi w:val="0"/>
        <w:jc w:val="center"/>
        <w:rPr>
          <w:rFonts w:ascii="Times New Roman" w:hAnsi="Times New Roman"/>
          <w:color w:val="000000"/>
          <w:sz w:val="20"/>
        </w:rPr>
      </w:pPr>
      <w:bookmarkStart w:id="6" w:name="condensed_consolidated_statements_stockh"/>
      <w:bookmarkEnd w:id="6"/>
      <w:r>
        <w:rPr>
          <w:rFonts w:ascii="Times New Roman" w:hAnsi="Times New Roman"/>
          <w:color w:val="000000"/>
          <w:sz w:val="20"/>
        </w:rPr>
        <w:t>CONDENSED CONSOLIDATED STATEMENTS OF STOCKHOLDERS’ EQUITY</w:t>
      </w:r>
    </w:p>
    <w:p>
      <w:pPr>
        <w:pStyle w:val="TextBody"/>
        <w:bidi w:val="0"/>
        <w:jc w:val="center"/>
        <w:rPr>
          <w:rFonts w:ascii="Times New Roman" w:hAnsi="Times New Roman"/>
          <w:color w:val="000000"/>
          <w:sz w:val="20"/>
        </w:rPr>
      </w:pPr>
      <w:r>
        <w:rPr>
          <w:rFonts w:ascii="Times New Roman" w:hAnsi="Times New Roman"/>
          <w:color w:val="000000"/>
          <w:sz w:val="20"/>
        </w:rPr>
        <w:t>(in millions, except per share data)</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9979" w:type="dxa"/>
        <w:jc w:val="left"/>
        <w:tblInd w:w="0" w:type="dxa"/>
        <w:tblLayout w:type="fixed"/>
        <w:tblCellMar>
          <w:top w:w="28" w:type="dxa"/>
          <w:left w:w="28" w:type="dxa"/>
          <w:bottom w:w="28" w:type="dxa"/>
          <w:right w:w="28" w:type="dxa"/>
        </w:tblCellMar>
      </w:tblPr>
      <w:tblGrid>
        <w:gridCol w:w="3046"/>
        <w:gridCol w:w="146"/>
        <w:gridCol w:w="146"/>
        <w:gridCol w:w="421"/>
        <w:gridCol w:w="146"/>
        <w:gridCol w:w="146"/>
        <w:gridCol w:w="251"/>
        <w:gridCol w:w="425"/>
        <w:gridCol w:w="146"/>
        <w:gridCol w:w="146"/>
        <w:gridCol w:w="233"/>
        <w:gridCol w:w="608"/>
        <w:gridCol w:w="166"/>
        <w:gridCol w:w="146"/>
        <w:gridCol w:w="246"/>
        <w:gridCol w:w="475"/>
        <w:gridCol w:w="166"/>
        <w:gridCol w:w="146"/>
        <w:gridCol w:w="428"/>
        <w:gridCol w:w="758"/>
        <w:gridCol w:w="166"/>
        <w:gridCol w:w="146"/>
        <w:gridCol w:w="294"/>
        <w:gridCol w:w="771"/>
        <w:gridCol w:w="21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issuance under stock-based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Cash dividend ($0.25</w:t>
            </w:r>
            <w:r>
              <w:rPr>
                <w:rFonts w:ascii="Times New Roman" w:hAnsi="Times New Roman"/>
                <w:color w:val="000000"/>
                <w:sz w:val="20"/>
              </w:rPr>
              <w:t> </w:t>
            </w:r>
            <w:r>
              <w:rPr>
                <w:rFonts w:ascii="Times New Roman" w:hAnsi="Times New Roman"/>
                <w:color w:val="000000"/>
                <w:sz w:val="16"/>
              </w:rPr>
              <w:t>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issuance under stock-based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Cash dividend ($0.25</w:t>
            </w:r>
            <w:r>
              <w:rPr>
                <w:rFonts w:ascii="Times New Roman" w:hAnsi="Times New Roman"/>
                <w:color w:val="000000"/>
                <w:sz w:val="20"/>
              </w:rPr>
              <w:t> </w:t>
            </w:r>
            <w:r>
              <w:rPr>
                <w:rFonts w:ascii="Times New Roman" w:hAnsi="Times New Roman"/>
                <w:color w:val="000000"/>
                <w:sz w:val="16"/>
              </w:rPr>
              <w:t>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tbl>
      <w:tblPr>
        <w:tblW w:w="9999" w:type="dxa"/>
        <w:jc w:val="left"/>
        <w:tblInd w:w="0" w:type="dxa"/>
        <w:tblLayout w:type="fixed"/>
        <w:tblCellMar>
          <w:top w:w="28" w:type="dxa"/>
          <w:left w:w="28" w:type="dxa"/>
          <w:bottom w:w="28" w:type="dxa"/>
          <w:right w:w="28" w:type="dxa"/>
        </w:tblCellMar>
      </w:tblPr>
      <w:tblGrid>
        <w:gridCol w:w="3046"/>
        <w:gridCol w:w="146"/>
        <w:gridCol w:w="146"/>
        <w:gridCol w:w="421"/>
        <w:gridCol w:w="166"/>
        <w:gridCol w:w="146"/>
        <w:gridCol w:w="251"/>
        <w:gridCol w:w="425"/>
        <w:gridCol w:w="146"/>
        <w:gridCol w:w="146"/>
        <w:gridCol w:w="233"/>
        <w:gridCol w:w="608"/>
        <w:gridCol w:w="166"/>
        <w:gridCol w:w="146"/>
        <w:gridCol w:w="246"/>
        <w:gridCol w:w="475"/>
        <w:gridCol w:w="166"/>
        <w:gridCol w:w="146"/>
        <w:gridCol w:w="367"/>
        <w:gridCol w:w="819"/>
        <w:gridCol w:w="166"/>
        <w:gridCol w:w="146"/>
        <w:gridCol w:w="294"/>
        <w:gridCol w:w="771"/>
        <w:gridCol w:w="21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issuance under stock-based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repurchase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Cash dividend ($0.22</w:t>
            </w:r>
            <w:r>
              <w:rPr>
                <w:rFonts w:ascii="Times New Roman" w:hAnsi="Times New Roman"/>
                <w:color w:val="000000"/>
                <w:sz w:val="20"/>
              </w:rPr>
              <w:t> </w:t>
            </w:r>
            <w:r>
              <w:rPr>
                <w:rFonts w:ascii="Times New Roman" w:hAnsi="Times New Roman"/>
                <w:color w:val="000000"/>
                <w:sz w:val="16"/>
              </w:rPr>
              <w:t>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issuance under stock-based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Cash dividend ($0.22</w:t>
            </w:r>
            <w:r>
              <w:rPr>
                <w:rFonts w:ascii="Times New Roman" w:hAnsi="Times New Roman"/>
                <w:color w:val="000000"/>
                <w:sz w:val="20"/>
              </w:rPr>
              <w:t> </w:t>
            </w:r>
            <w:r>
              <w:rPr>
                <w:rFonts w:ascii="Times New Roman" w:hAnsi="Times New Roman"/>
                <w:color w:val="000000"/>
                <w:sz w:val="16"/>
              </w:rPr>
              <w:t>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 unaudited condensed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MKS INC.</w:t>
      </w:r>
    </w:p>
    <w:p>
      <w:pPr>
        <w:pStyle w:val="TextBody"/>
        <w:bidi w:val="0"/>
        <w:jc w:val="center"/>
        <w:rPr>
          <w:rFonts w:ascii="Times New Roman" w:hAnsi="Times New Roman"/>
          <w:color w:val="000000"/>
          <w:sz w:val="20"/>
        </w:rPr>
      </w:pPr>
      <w:bookmarkStart w:id="7" w:name="condensed_consolidated_statements_cash_f"/>
      <w:bookmarkEnd w:id="7"/>
      <w:r>
        <w:rPr>
          <w:rFonts w:ascii="Times New Roman" w:hAnsi="Times New Roman"/>
          <w:color w:val="000000"/>
          <w:sz w:val="20"/>
        </w:rPr>
        <w:t>CONDENSED 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(in millions)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10101" w:type="dxa"/>
        <w:jc w:val="left"/>
        <w:tblInd w:w="0" w:type="dxa"/>
        <w:tblLayout w:type="fixed"/>
        <w:tblCellMar>
          <w:top w:w="28" w:type="dxa"/>
          <w:left w:w="28" w:type="dxa"/>
          <w:bottom w:w="28" w:type="dxa"/>
          <w:right w:w="28" w:type="dxa"/>
        </w:tblCellMar>
      </w:tblPr>
      <w:tblGrid>
        <w:gridCol w:w="7121"/>
        <w:gridCol w:w="146"/>
        <w:gridCol w:w="231"/>
        <w:gridCol w:w="692"/>
        <w:gridCol w:w="182"/>
        <w:gridCol w:w="160"/>
        <w:gridCol w:w="231"/>
        <w:gridCol w:w="527"/>
        <w:gridCol w:w="811"/>
      </w:tblGrid>
      <w:tr>
        <w:trPr/>
        <w:tc>
          <w:tcPr>
            <w:tcW w:w="7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Unrealized (gain) loss on foreign currency and derivative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Amortization of debt issuance costs and original issue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Provision for excess and obsolete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Trade 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current and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Current and non-current 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Income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current and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Purchases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Proceeds from sale of 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Purchases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Proceeds from borrowing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Payments of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Payments of deferred financing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Dividend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payments related to employee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non-cash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 obtained in exchange for 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 unaudited condensed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MKS INC.</w:t>
      </w:r>
    </w:p>
    <w:p>
      <w:pPr>
        <w:pStyle w:val="TextBody"/>
        <w:bidi w:val="0"/>
        <w:jc w:val="center"/>
        <w:rPr>
          <w:rFonts w:ascii="Times New Roman" w:hAnsi="Times New Roman"/>
          <w:color w:val="000000"/>
          <w:sz w:val="20"/>
        </w:rPr>
      </w:pPr>
      <w:r>
        <w:rPr>
          <w:rFonts w:ascii="Times New Roman" w:hAnsi="Times New Roman"/>
          <w:color w:val="000000"/>
          <w:sz w:val="20"/>
        </w:rPr>
        <w:t>NOTES TO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(in millions, except per share data)</w:t>
      </w:r>
    </w:p>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Basis of Presentation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0"/>
        </w:rPr>
      </w:pPr>
      <w:r>
        <w:rPr>
          <w:rFonts w:ascii="Times New Roman" w:hAnsi="Times New Roman"/>
          <w:color w:val="000000"/>
          <w:sz w:val="20"/>
        </w:rPr>
        <w:t>The terms “MKS” and the “Company” refer to MKS Inc. and its subsidiaries. All intercompany accounts and transactions have been eliminated in consolidation. The interim financial data as of June 30, 2026, and for the three and six months ended June 30, 2026, are unaudited; however, in the opinion of MKS, the interim data includes all adjustments, consisting of normal recurring adjustments, necessary for a fair statement of the results for the interim periods. The condensed consolidated balance sheet presented as of December 31, 2025 has been derived from the consolidated audited financial statements as of that date. The unaudited condensed consolidated financial statements presented herein have been prepared in accordance with the instructions to Form 10-Q pursuant to the rules and regulations of the U.S. Securities and Exchange Commission (the “SEC”). Certain information and footnote disclosures normally included in financial statements prepared in accordance with accounting principles generally accepted in the United States have been condensed or omitted pursuant to such rules and regulations. The unaudited condensed consolidated financial statements should be read in conjunction with the audited consolidated financial statements and notes thereto included in the MKS Annual Report on Form 10-K for the year ended December 31, 2025, filed with the SEC on February 24,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these unaudited condensed consolidated financial statements requires management to make estimates and assumptions that affect the reported amounts of assets and liabilities and the disclosure of contingent liabilities at the date of the unaudited condensed consolidated financial statements and the reported amounts of revenues and expenses during the reporting period. On an ongoing basis, management evaluates its estimates and judgments, including those related to revenue recognition, inventory valuation, warranty costs, pension plan valuations, stock-based compensation expense, intangible assets, goodwill, long-lived assets, income taxes and derivatives. Management bases its estimates and judgments on historical experience and on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As a result of rounding, there may be immaterial differences in amounts presented and certain calculations may not sum to the total number expressed in each category or tie to a corresponding schedule.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three reportable segments: the Vacuum Solutions Division (“VSD”), the Photonics Solutions Division (“PSD”) and the Materials Solutions Division (“MSD”) as described in Note 15.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(2)</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Income Statement—Reporting Comprehensive Income—Expense Disaggregation Disclosures (Subtopic 220-40): Disaggregation of Income Statement Expenses</w:t>
      </w:r>
    </w:p>
    <w:p>
      <w:pPr>
        <w:pStyle w:val="TextBody"/>
        <w:bidi w:val="0"/>
        <w:jc w:val="left"/>
        <w:rPr>
          <w:rFonts w:ascii="Times New Roman" w:hAnsi="Times New Roman"/>
          <w:color w:val="000000"/>
          <w:sz w:val="20"/>
        </w:rPr>
      </w:pPr>
      <w:r>
        <w:rPr>
          <w:rFonts w:ascii="Times New Roman" w:hAnsi="Times New Roman"/>
          <w:color w:val="000000"/>
          <w:sz w:val="20"/>
        </w:rPr>
        <w:br/>
        <w:t>In November 2024, the Financial Accounting Standards Board (“FASB”) issued Accounting Standards Update (“ASU”) No. 2024-03, Income Statement—Reporting Comprehensive Income—Expense Disaggregation Disclosures (Subtopic 220-40): Disaggregation of Income Statement Expenses (“ASU 2024-03”), which requires public companies to disclose, in interim and annual reporting periods, additional disaggregated information about certain income statement expense line items in the notes to financial statements. The amendments in ASU 2024-03 are effective for annual reporting periods beginning after December 15, 2026, and interim reporting periods beginning after December 15, 2027, with early adoption permitted. The Company is currently evaluating the impact on its consolidated financial statement disclosures; however, adoption will not impact its consolidated balance sheets, cash flows or statements of operations.</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Derivatives and Hedging (Topic 815): Hedge Accounting Improvements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November 2025, the FASB issued ASU No, 2025-09, Derivatives and Hedging (Topic 815): Hedge Accounting Improvements (“ASU 2025-09”), which focuses on aligning hedge accounting with the economics of an entity’s risk management activities. The amendments in ASU 2025-09 are effective for annual reporting periods beginning after December 15, 2026, and interim periods within those annual reporting periods, with early adoption permitted. The Company is currently evaluating the impact of adopting the new standard. </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Government Grants (Topic 832): Accounting for Government Grants Received by Business Entities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December 2025, the FASB issued ASU No. 2025-10, Government Grants (Topic 832): Accounting for Government Grants Received by Business Entities (“ASU 2025-10”), which establishes authoritative guidance on the recognition,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MKS INC.</w:t>
      </w:r>
    </w:p>
    <w:p>
      <w:pPr>
        <w:pStyle w:val="TextBody"/>
        <w:bidi w:val="0"/>
        <w:jc w:val="center"/>
        <w:rPr>
          <w:rFonts w:ascii="Times New Roman" w:hAnsi="Times New Roman"/>
          <w:color w:val="000000"/>
          <w:sz w:val="20"/>
        </w:rPr>
      </w:pPr>
      <w:r>
        <w:rPr>
          <w:rFonts w:ascii="Times New Roman" w:hAnsi="Times New Roman"/>
          <w:color w:val="000000"/>
          <w:sz w:val="20"/>
        </w:rPr>
        <w:t>NOTES TO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(in millions, except per share data)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measurement, presentation and disclosure of government grants received by business entities. The amendments in ASU 2025-10 are effective for annual reporting periods beginning after December 15, 2028, and interim reporting periods within those annual reporting periods, with early adoption permitted. The Company is currently evaluating the impact of adopting ASU 2025-10 but does not expect ASU 2025-10 adoption to have a material impact on its consolidated financial statements.</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Interim Reporting (Topic 270): Narrow-Scope Improvements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December 2025, the FASB issued ASU No. 2025-11, Interim Reporting (Topic 270): Narrow-Scope Improvements (“ASU 2025-11”), which clarifies interim disclosure requirements and the applicability of Topic 270. The amendments in ASU 2025-11 are effective for interim reporting periods within annual reporting periods beginning after December 15, 2027, with early adoption permitted. The Company is currently evaluating the impact of adopting ASU 2025-11 but does not expect ASU 2025-11 adoption to have a material impact on its consolidated financial statements.</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(3)</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Revenue from Contracts with Customers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Contract assets as of June 30, 2026 and December 31, 2025 were $47 and $45, respectively. Contract assets reflect revenue recognized and performance obligations satisfied or partially satisfied in advance of customer billing. Deferred revenue that is expected to be recognized during the succeeding 12-month period is recorded as current deferred revenue, and the remaining portion is recorded as long-term deferred revenue. The Company has elected to use the practical expedient and is not disclosing the remaining performance obligations related to deferred revenue and customer advances because these obligations generally have a duration of less than one year. A roll forward of the Company’s deferred revenue and customer advances was as follows:</w:t>
      </w:r>
    </w:p>
    <w:tbl>
      <w:tblPr>
        <w:tblW w:w="8965" w:type="dxa"/>
        <w:jc w:val="left"/>
        <w:tblInd w:w="0" w:type="dxa"/>
        <w:tblLayout w:type="fixed"/>
        <w:tblCellMar>
          <w:top w:w="28" w:type="dxa"/>
          <w:left w:w="28" w:type="dxa"/>
          <w:bottom w:w="28" w:type="dxa"/>
          <w:right w:w="28" w:type="dxa"/>
        </w:tblCellMar>
      </w:tblPr>
      <w:tblGrid>
        <w:gridCol w:w="6106"/>
        <w:gridCol w:w="146"/>
        <w:gridCol w:w="365"/>
        <w:gridCol w:w="730"/>
        <w:gridCol w:w="166"/>
        <w:gridCol w:w="146"/>
        <w:gridCol w:w="393"/>
        <w:gridCol w:w="702"/>
        <w:gridCol w:w="211"/>
      </w:tblGrid>
      <w:tr>
        <w:trPr/>
        <w:tc>
          <w:tcPr>
            <w:tcW w:w="6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Beginning of period</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to deferred revenue and customer advances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 of deferred revenue and customer advances recognized in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End of period</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Beginning deferred revenue and customer advances balances as of January 1, 2026 included $79 of current deferred revenue and customer advances and $4 of long-term deferred revenue. Beginning deferred revenue and customer advances balances as of January 1, 2025 included $71 of current deferred revenue and customer advances and $2 of long-term deferred revenue. The majority of the beginning of period balance is expected to be recognized in income within one year.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Ending deferred revenue and customer advances balances as of June 30, 2026 included $109 of current deferred revenue and customer advances and $7 of long-term deferred revenue. Ending deferred revenue and customer advances balances as of June 30, 2025 included $78 of current deferred revenue and customer advances and $4 of long-term deferred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from certain custom products, including MSD plating equipment, and revenue from certain service contracts are recorded over time. Remaining product and service revenues are recorded at a point in time.</w:t>
      </w:r>
    </w:p>
    <w:p>
      <w:pPr>
        <w:pStyle w:val="TextBody"/>
        <w:bidi w:val="0"/>
        <w:spacing w:before="240" w:after="240"/>
        <w:jc w:val="left"/>
        <w:rPr>
          <w:rFonts w:ascii="Times New Roman" w:hAnsi="Times New Roman"/>
          <w:color w:val="000000"/>
          <w:sz w:val="20"/>
          <w:u w:val="single"/>
        </w:rPr>
      </w:pPr>
      <w:r>
        <w:rPr>
          <w:rFonts w:ascii="Times New Roman" w:hAnsi="Times New Roman"/>
          <w:color w:val="000000"/>
          <w:sz w:val="20"/>
          <w:u w:val="single"/>
        </w:rPr>
        <w:t>Disaggregation of Revenue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summarizes revenue from contracts with customers in the Company’s three end markets: Semiconductor, Electronics and Packaging, and Specialty Industrial.</w:t>
      </w:r>
    </w:p>
    <w:tbl>
      <w:tblPr>
        <w:tblW w:w="7136" w:type="dxa"/>
        <w:jc w:val="left"/>
        <w:tblInd w:w="0" w:type="dxa"/>
        <w:tblLayout w:type="fixed"/>
        <w:tblCellMar>
          <w:top w:w="28" w:type="dxa"/>
          <w:left w:w="28" w:type="dxa"/>
          <w:bottom w:w="28" w:type="dxa"/>
          <w:right w:w="28" w:type="dxa"/>
        </w:tblCellMar>
      </w:tblPr>
      <w:tblGrid>
        <w:gridCol w:w="2281"/>
        <w:gridCol w:w="146"/>
        <w:gridCol w:w="272"/>
        <w:gridCol w:w="738"/>
        <w:gridCol w:w="188"/>
        <w:gridCol w:w="188"/>
        <w:gridCol w:w="272"/>
        <w:gridCol w:w="544"/>
        <w:gridCol w:w="146"/>
        <w:gridCol w:w="146"/>
        <w:gridCol w:w="230"/>
        <w:gridCol w:w="623"/>
        <w:gridCol w:w="159"/>
        <w:gridCol w:w="159"/>
        <w:gridCol w:w="230"/>
        <w:gridCol w:w="623"/>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Semiconductor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Electronics and Packaging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Specialty Industrial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Refer to Note 15 for revenue by reportable segment, geography and groupings of similar products.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MKS INC.</w:t>
      </w:r>
    </w:p>
    <w:p>
      <w:pPr>
        <w:pStyle w:val="TextBody"/>
        <w:bidi w:val="0"/>
        <w:jc w:val="center"/>
        <w:rPr>
          <w:rFonts w:ascii="Times New Roman" w:hAnsi="Times New Roman"/>
          <w:color w:val="000000"/>
          <w:sz w:val="20"/>
        </w:rPr>
      </w:pPr>
      <w:r>
        <w:rPr>
          <w:rFonts w:ascii="Times New Roman" w:hAnsi="Times New Roman"/>
          <w:color w:val="000000"/>
          <w:sz w:val="20"/>
        </w:rPr>
        <w:t>NOTES TO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(in millions, except per share data)</w:t>
      </w:r>
    </w:p>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(4)</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jc w:val="left"/>
        <w:rPr>
          <w:rFonts w:ascii="Times New Roman" w:hAnsi="Times New Roman"/>
          <w:color w:val="000000"/>
          <w:sz w:val="20"/>
        </w:rPr>
      </w:pPr>
      <w:r>
        <w:rPr>
          <w:rFonts w:ascii="Times New Roman" w:hAnsi="Times New Roman"/>
          <w:color w:val="000000"/>
          <w:sz w:val="20"/>
        </w:rPr>
        <w:t>In accordance with the provisions of fair value accounting, a fair value measurement assumes that the transaction to sell an asset or transfer a liability occurs in the principal market for the asset or liability or, in the absence of a principal market, the most advantageous market for the asset or liability and defines fair value based upon an exit price model.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measurement guidance establishes a fair value hierarchy which requires an entity to maximize the use of observable inputs and minimize the use of unobservable inputs when measuring fair value. The guidance describes three levels of inputs that may be used to measure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 Quoted prices in active markets for identical assets or liabilities as of the reporting date. Active markets are those in which transactions for the asset or liability occur in sufficient frequency and volume to provide pricing information on an ongoing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Level 2 assets and liabilities include debt securities with quoted prices that are traded less frequently than exchange-traded instruments or securities or derivative contracts that are valued using a pricing model with inputs that are observable in the market or can be derived principally from or corroborated by observable market data.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 Unobservable inputs that are supported by little or no market activity and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certain cases, the inputs used to measure fair value may fall into different levels of the fair value hierarchy. In such cases, the Company categorizes such assets and liabilities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MKS INC.</w:t>
      </w:r>
    </w:p>
    <w:p>
      <w:pPr>
        <w:pStyle w:val="TextBody"/>
        <w:bidi w:val="0"/>
        <w:jc w:val="center"/>
        <w:rPr>
          <w:rFonts w:ascii="Times New Roman" w:hAnsi="Times New Roman"/>
          <w:color w:val="000000"/>
          <w:sz w:val="20"/>
        </w:rPr>
      </w:pPr>
      <w:r>
        <w:rPr>
          <w:rFonts w:ascii="Times New Roman" w:hAnsi="Times New Roman"/>
          <w:color w:val="000000"/>
          <w:sz w:val="20"/>
        </w:rPr>
        <w:t>NOTES TO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(in millions, except per share data)</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Assets and liabilities of the Company are measured at fair value on a recurring basis as of June 30, 2026, and are summarized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25"/>
        <w:gridCol w:w="146"/>
        <w:gridCol w:w="371"/>
        <w:gridCol w:w="712"/>
        <w:gridCol w:w="146"/>
        <w:gridCol w:w="146"/>
        <w:gridCol w:w="479"/>
        <w:gridCol w:w="915"/>
        <w:gridCol w:w="230"/>
        <w:gridCol w:w="230"/>
        <w:gridCol w:w="320"/>
        <w:gridCol w:w="566"/>
        <w:gridCol w:w="230"/>
        <w:gridCol w:w="230"/>
        <w:gridCol w:w="385"/>
        <w:gridCol w:w="681"/>
        <w:gridCol w:w="793"/>
      </w:tblGrid>
      <w:tr>
        <w:trPr/>
        <w:tc>
          <w:tcPr>
            <w:tcW w:w="3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36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Fair Value Measurements at Reporting Date Using</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Description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Quoted Prices in</w:t>
              <w:br/>
              <w:t>Active Markets for</w:t>
              <w:br/>
              <w:t xml:space="preserve">Identical Assets </w:t>
              <w:br/>
              <w:t>(Level 1)</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Significant</w:t>
              <w:br/>
              <w:t>Other</w:t>
              <w:br/>
              <w:t>Observable</w:t>
              <w:br/>
              <w:t>Inputs</w:t>
              <w:br/>
              <w:t>(Level 2)</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Significant</w:t>
              <w:br/>
              <w:t>Unobservable</w:t>
              <w:br/>
              <w:t>Inputs</w:t>
              <w:br/>
              <w:t>(Level 3)</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62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62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Time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62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Group insurance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62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Foreign exchange forward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62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Interest rate swaps -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Pension and deferred compensation plan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62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62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Foreign exchange forward contracts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62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Reported as follows: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7"/>
              </w:rPr>
            </w:pPr>
            <w:r>
              <w:rPr>
                <w:rFonts w:ascii="Times New Roman" w:hAnsi="Times New Roman"/>
                <w:color w:val="000000"/>
                <w:sz w:val="17"/>
              </w:rPr>
              <w:t>Cash and cash equivalents</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62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pPr>
      <w:r>
        <w:rPr>
          <w:rFonts w:ascii="Times New Roman" w:hAnsi="Times New Roman"/>
          <w:color w:val="000000"/>
          <w:sz w:val="20"/>
        </w:rPr>
        <w:t>The cash and cash equivalents amount presented in the table above does not include cash of $454</w:t>
      </w:r>
      <w:r>
        <w:rPr>
          <w:color w:val="000000"/>
        </w:rPr>
        <w:t xml:space="preserve"> </w:t>
      </w:r>
      <w:r>
        <w:rPr>
          <w:rFonts w:ascii="Times New Roman" w:hAnsi="Times New Roman"/>
          <w:color w:val="000000"/>
          <w:sz w:val="20"/>
        </w:rPr>
        <w:t>as of June 30, 2026.</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MKS INC.</w:t>
      </w:r>
    </w:p>
    <w:p>
      <w:pPr>
        <w:pStyle w:val="TextBody"/>
        <w:bidi w:val="0"/>
        <w:jc w:val="center"/>
        <w:rPr>
          <w:rFonts w:ascii="Times New Roman" w:hAnsi="Times New Roman"/>
          <w:color w:val="000000"/>
          <w:sz w:val="20"/>
        </w:rPr>
      </w:pPr>
      <w:r>
        <w:rPr>
          <w:rFonts w:ascii="Times New Roman" w:hAnsi="Times New Roman"/>
          <w:color w:val="000000"/>
          <w:sz w:val="20"/>
        </w:rPr>
        <w:t>NOTES TO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(in millions, except per share data)</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Assets and liabilities of the Company are measured at fair value on a recurring basis as of December 31, 2025, and are summarized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412"/>
        <w:gridCol w:w="146"/>
        <w:gridCol w:w="478"/>
        <w:gridCol w:w="923"/>
        <w:gridCol w:w="146"/>
        <w:gridCol w:w="146"/>
        <w:gridCol w:w="461"/>
        <w:gridCol w:w="861"/>
        <w:gridCol w:w="221"/>
        <w:gridCol w:w="221"/>
        <w:gridCol w:w="320"/>
        <w:gridCol w:w="566"/>
        <w:gridCol w:w="221"/>
        <w:gridCol w:w="221"/>
        <w:gridCol w:w="385"/>
        <w:gridCol w:w="681"/>
        <w:gridCol w:w="796"/>
      </w:tblGrid>
      <w:tr>
        <w:trPr/>
        <w:tc>
          <w:tcPr>
            <w:tcW w:w="3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Fair Value Measurements at Reporting Date Using</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Description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Quoted Prices in</w:t>
              <w:br/>
              <w:t>Active Markets for</w:t>
              <w:br/>
              <w:t xml:space="preserve">Identical Assets </w:t>
              <w:br/>
              <w:t>(Level 1)</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Significant</w:t>
              <w:br/>
              <w:t>Other</w:t>
              <w:br/>
              <w:t>Observable</w:t>
              <w:br/>
              <w:t>Inputs</w:t>
              <w:br/>
              <w:t>(Level 2)</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Significant</w:t>
              <w:br/>
              <w:t>Unobservable</w:t>
              <w:br/>
              <w:t>Inputs</w:t>
              <w:br/>
              <w:t>(Level 3)</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4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246</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4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Time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4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Group insurance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4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Foreign exchange forward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4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Interest rate swaps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4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Interest rate swaps -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Pension and deferred compensation plan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41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248</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4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Foreign exchange forward contracts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4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Interest rate swaps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41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Reported as follows: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7"/>
              </w:rPr>
            </w:pPr>
            <w:r>
              <w:rPr>
                <w:rFonts w:ascii="Times New Roman" w:hAnsi="Times New Roman"/>
                <w:color w:val="000000"/>
                <w:sz w:val="17"/>
              </w:rPr>
              <w:t xml:space="preserve">Cash and cash equivalents </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246</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41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246</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cash and cash equivalents amount presented in the table above does not include cash of $418 as of December 31, 2025.</w:t>
      </w:r>
    </w:p>
    <w:p>
      <w:pPr>
        <w:pStyle w:val="TextBody"/>
        <w:bidi w:val="0"/>
        <w:spacing w:before="240" w:after="240"/>
        <w:jc w:val="left"/>
        <w:rPr>
          <w:rFonts w:ascii="Times New Roman" w:hAnsi="Times New Roman"/>
          <w:color w:val="000000"/>
          <w:sz w:val="20"/>
          <w:u w:val="single"/>
        </w:rPr>
      </w:pPr>
      <w:r>
        <w:rPr>
          <w:rFonts w:ascii="Times New Roman" w:hAnsi="Times New Roman"/>
          <w:color w:val="000000"/>
          <w:sz w:val="20"/>
          <w:u w:val="single"/>
        </w:rPr>
        <w:t>Other Fair Value Disclosures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estimated carrying value and fair value of the Company’s debt were as follows:</w:t>
      </w:r>
    </w:p>
    <w:tbl>
      <w:tblPr>
        <w:tblW w:w="6874" w:type="dxa"/>
        <w:jc w:val="left"/>
        <w:tblInd w:w="0" w:type="dxa"/>
        <w:tblLayout w:type="fixed"/>
        <w:tblCellMar>
          <w:top w:w="28" w:type="dxa"/>
          <w:left w:w="28" w:type="dxa"/>
          <w:bottom w:w="28" w:type="dxa"/>
          <w:right w:w="28" w:type="dxa"/>
        </w:tblCellMar>
      </w:tblPr>
      <w:tblGrid>
        <w:gridCol w:w="1471"/>
        <w:gridCol w:w="146"/>
        <w:gridCol w:w="323"/>
        <w:gridCol w:w="847"/>
        <w:gridCol w:w="146"/>
        <w:gridCol w:w="146"/>
        <w:gridCol w:w="228"/>
        <w:gridCol w:w="597"/>
        <w:gridCol w:w="146"/>
        <w:gridCol w:w="146"/>
        <w:gridCol w:w="323"/>
        <w:gridCol w:w="847"/>
        <w:gridCol w:w="146"/>
        <w:gridCol w:w="146"/>
        <w:gridCol w:w="228"/>
        <w:gridCol w:w="597"/>
        <w:gridCol w:w="391"/>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Term Loan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2034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estimated fair values of the Company’s Term Loan Facility and 2034 Notes, each as defined and further described in Note 8, were determined using available market information based on recent trades or activity of debt instruments with substantially similar risks, terms and maturities, and fall within Level 2 under the fair value hierarchy. The estimated fair value of the Company’s Convertible Notes, as defined and further described in Note 8, was determined based on the last traded price of the Convertible Notes for the period ended June 30, 2026, and falls under Level 2 of the fair value hierarchy. </w:t>
      </w:r>
    </w:p>
    <w:p>
      <w:pPr>
        <w:pStyle w:val="TextBody"/>
        <w:bidi w:val="0"/>
        <w:spacing w:before="240" w:after="240"/>
        <w:jc w:val="left"/>
        <w:rPr>
          <w:rFonts w:ascii="Times New Roman" w:hAnsi="Times New Roman"/>
          <w:color w:val="000000"/>
          <w:sz w:val="20"/>
          <w:u w:val="single"/>
        </w:rPr>
      </w:pPr>
      <w:r>
        <w:rPr>
          <w:rFonts w:ascii="Times New Roman" w:hAnsi="Times New Roman"/>
          <w:color w:val="000000"/>
          <w:sz w:val="20"/>
          <w:u w:val="single"/>
        </w:rPr>
        <w:t>Money Market Funds</w:t>
      </w:r>
    </w:p>
    <w:p>
      <w:pPr>
        <w:pStyle w:val="TextBody"/>
        <w:bidi w:val="0"/>
        <w:jc w:val="left"/>
        <w:rPr>
          <w:rFonts w:ascii="Times New Roman" w:hAnsi="Times New Roman"/>
          <w:color w:val="000000"/>
          <w:sz w:val="20"/>
        </w:rPr>
      </w:pPr>
      <w:r>
        <w:rPr>
          <w:rFonts w:ascii="Times New Roman" w:hAnsi="Times New Roman"/>
          <w:color w:val="000000"/>
          <w:sz w:val="20"/>
        </w:rPr>
        <w:t>Money market funds are cash and cash equivalents and are classified within Level 1 of the fair value hierarchy.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MKS INC.</w:t>
      </w:r>
    </w:p>
    <w:p>
      <w:pPr>
        <w:pStyle w:val="TextBody"/>
        <w:bidi w:val="0"/>
        <w:jc w:val="center"/>
        <w:rPr>
          <w:rFonts w:ascii="Times New Roman" w:hAnsi="Times New Roman"/>
          <w:color w:val="000000"/>
          <w:sz w:val="20"/>
        </w:rPr>
      </w:pPr>
      <w:r>
        <w:rPr>
          <w:rFonts w:ascii="Times New Roman" w:hAnsi="Times New Roman"/>
          <w:color w:val="000000"/>
          <w:sz w:val="20"/>
        </w:rPr>
        <w:t>NOTES TO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(in millions, except per share data)</w:t>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color w:val="000000"/>
          <w:sz w:val="20"/>
          <w:u w:val="single"/>
        </w:rPr>
        <w:t>Pension and Deferred Compensation Plan Assets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 pension and deferred compensation plan assets represent investments in mutual funds, exchange traded funds, government securities and other time deposits. These investments are set aside for retirement benefits for employees of certain of the Company’s subsidiaries. </w:t>
      </w:r>
    </w:p>
    <w:p>
      <w:pPr>
        <w:pStyle w:val="TextBody"/>
        <w:bidi w:val="0"/>
        <w:spacing w:before="240" w:after="240"/>
        <w:jc w:val="left"/>
        <w:rPr>
          <w:rFonts w:ascii="Times New Roman" w:hAnsi="Times New Roman"/>
          <w:color w:val="000000"/>
          <w:sz w:val="20"/>
          <w:u w:val="single"/>
        </w:rPr>
      </w:pPr>
      <w:r>
        <w:rPr>
          <w:rFonts w:ascii="Times New Roman" w:hAnsi="Times New Roman"/>
          <w:color w:val="000000"/>
          <w:sz w:val="20"/>
          <w:u w:val="single"/>
        </w:rPr>
        <w:t>Derivatives</w:t>
      </w:r>
    </w:p>
    <w:p>
      <w:pPr>
        <w:pStyle w:val="TextBody"/>
        <w:bidi w:val="0"/>
        <w:jc w:val="left"/>
        <w:rPr>
          <w:rFonts w:ascii="Times New Roman" w:hAnsi="Times New Roman"/>
          <w:color w:val="000000"/>
          <w:sz w:val="20"/>
        </w:rPr>
      </w:pPr>
      <w:r>
        <w:rPr>
          <w:rFonts w:ascii="Times New Roman" w:hAnsi="Times New Roman"/>
          <w:color w:val="000000"/>
          <w:sz w:val="20"/>
        </w:rPr>
        <w:t>As a result of the Company’s global operating activities and variable interest rate borrowings, the Company is exposed to market risks from changes in foreign currency exchange rates and interest rates, which may adversely affect its operating results and financial position. When appropriate, the Company uses derivative financial instruments to minimize its exposure to risks from foreign currency exchange rate and interest rate fluctuations. The principal market in which the Company executes its foreign currency and interest rate contracts is the institutional market in an over-the-counter environment with a relatively high level of price transparency. The market participants are typically large commercial banks. The contracts are valued using broker quotations or market transactions.</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(5)</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Derivatives and Net Investment Hedges</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Foreign Exchange Forward Contracts</w:t>
      </w:r>
    </w:p>
    <w:p>
      <w:pPr>
        <w:pStyle w:val="TextBody"/>
        <w:bidi w:val="0"/>
        <w:jc w:val="left"/>
        <w:rPr>
          <w:rFonts w:ascii="Times New Roman" w:hAnsi="Times New Roman"/>
          <w:color w:val="000000"/>
          <w:sz w:val="20"/>
        </w:rPr>
      </w:pPr>
      <w:r>
        <w:rPr>
          <w:rFonts w:ascii="Times New Roman" w:hAnsi="Times New Roman"/>
          <w:color w:val="000000"/>
          <w:sz w:val="20"/>
        </w:rPr>
        <w:t>The Company hedges a portion of its forecasted foreign currency-denominated intercompany sales of inventory and certain of its foreign subsidiaries’ operating expenses, over a maximum period of twenty-four months, using foreign exchange forward contracts accounted for as cash-flow hedges. To the extent these derivatives are effective in offsetting the variability of the hedged cash flows, and otherwise meet the hedge accounting criteria, changes in the derivatives’ fair value are not included in current earnings but are included in other comprehensive income (“OCI”) in stockholders’ equity. These changes in fair value will subsequently be reclassified into earnings as applicable, when the forecasted transaction occurs. To the extent that a previously designated hedging transaction is no longer an effective hedge, any ineffectiveness measured in the hedging relationship is recorded in earnings in the period it occurs. The cash flows resulting from foreign exchange forward contracts are classified in the condensed consolidated statements of cash flows as part of cash flows from 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also enters into foreign exchange forward contracts to hedge against certain monetary asset and liability accounts on the condensed consolidated balance sheet to mitigate the risk associated with certain foreign currency transactions in the ordinary course of business. These derivatives are not designated as cash flow hedging instruments and gains or losses from these derivatives are recorded immediately in 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net notional values of foreign exchange forward contracts outstanding:</w:t>
      </w:r>
    </w:p>
    <w:p>
      <w:pPr>
        <w:pStyle w:val="TextBody"/>
        <w:bidi w:val="0"/>
        <w:jc w:val="left"/>
        <w:rPr/>
      </w:pPr>
      <w:r>
        <w:rPr/>
        <w:t> </w:t>
      </w:r>
    </w:p>
    <w:tbl>
      <w:tblPr>
        <w:tblW w:w="8485" w:type="dxa"/>
        <w:jc w:val="left"/>
        <w:tblInd w:w="0" w:type="dxa"/>
        <w:tblLayout w:type="fixed"/>
        <w:tblCellMar>
          <w:top w:w="28" w:type="dxa"/>
          <w:left w:w="28" w:type="dxa"/>
          <w:bottom w:w="28" w:type="dxa"/>
          <w:right w:w="28" w:type="dxa"/>
        </w:tblCellMar>
      </w:tblPr>
      <w:tblGrid>
        <w:gridCol w:w="5076"/>
        <w:gridCol w:w="146"/>
        <w:gridCol w:w="365"/>
        <w:gridCol w:w="730"/>
        <w:gridCol w:w="146"/>
        <w:gridCol w:w="146"/>
        <w:gridCol w:w="494"/>
        <w:gridCol w:w="991"/>
        <w:gridCol w:w="391"/>
      </w:tblGrid>
      <w:tr>
        <w:trPr/>
        <w:tc>
          <w:tcPr>
            <w:tcW w:w="5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Designated as cash flow hedging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exchange forward contracts - cash flow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Not designated as cash flow hedging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exchange forward contracts - balance sheet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and December 31, 2025, the Canadian dollar was the only notional contract designated as a cash flow hedging instrument.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largest notional contracts for balance sheet hedges not designated as cash flow hedging instruments were denominated in the Euro, British pound, and Chinese yuan as of June 30, 2026, and the Euro, Chinese yuan, British pound, and New Taiwan dollar as of December 31, 2025.</w:t>
      </w:r>
    </w:p>
    <w:p>
      <w:pPr>
        <w:pStyle w:val="TextBody"/>
        <w:bidi w:val="0"/>
        <w:spacing w:before="240" w:after="240"/>
        <w:jc w:val="left"/>
        <w:rPr>
          <w:rFonts w:ascii="Times New Roman" w:hAnsi="Times New Roman"/>
          <w:color w:val="000000"/>
          <w:sz w:val="20"/>
          <w:u w:val="single"/>
        </w:rPr>
      </w:pPr>
      <w:r>
        <w:rPr>
          <w:rFonts w:ascii="Times New Roman" w:hAnsi="Times New Roman"/>
          <w:color w:val="000000"/>
          <w:sz w:val="20"/>
          <w:u w:val="single"/>
        </w:rPr>
        <w:t>Net Investment Hedges</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designates certain Euro-denominated debt as net investment hedges to hedge a portion of its net investments in certain of its entities with functional currencies denominated in the Euro.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4, 2026, the Company designated the 2034 Notes, as defined and discussed further in Note 8, as a net investment hedge. As of June 30, 2026, the total principal outstanding amount under the 2034 Notes was €1,000 and the entire balance was designated as a net investment hedge. In addition, on January 28, 2026, the Company entered into a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MKS INC.</w:t>
      </w:r>
    </w:p>
    <w:p>
      <w:pPr>
        <w:pStyle w:val="TextBody"/>
        <w:bidi w:val="0"/>
        <w:jc w:val="center"/>
        <w:rPr>
          <w:rFonts w:ascii="Times New Roman" w:hAnsi="Times New Roman"/>
          <w:color w:val="000000"/>
          <w:sz w:val="20"/>
        </w:rPr>
      </w:pPr>
      <w:r>
        <w:rPr>
          <w:rFonts w:ascii="Times New Roman" w:hAnsi="Times New Roman"/>
          <w:color w:val="000000"/>
          <w:sz w:val="20"/>
        </w:rPr>
        <w:t>NOTES TO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(in millions, except per share data)</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exchange forward contract with a notional value of €990, to manage its exposure to foreign currency exchange rate fluctuations related to the principal of the 2034 Notes from January 28, 2026 through the settlement date of February 4, 2026. The foreign exchange forward contract was designated as a net investment hedge and the related gain was reflected in the proceeds from borrowing on the condensed consolidated statements of cash flows. As of June 30, 2026 and December 31, 2025, the total principal amount outstanding under the Euro Tranche B, as defined and described further in Note 8, was €585 and €587, respectively, and the entire balance was designated as a net investment hedge.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these net investment hedges, the Company records foreign currency remeasurement gains and losses within a component of OCI. Recognition in earnings of amounts previously recorded in accumulated OCI is limited to circumstances such as complete or substantially complete liquidation or sale of the net investment in the hedged foreign operations.</w:t>
      </w:r>
    </w:p>
    <w:p>
      <w:pPr>
        <w:pStyle w:val="TextBody"/>
        <w:bidi w:val="0"/>
        <w:spacing w:before="240" w:after="240"/>
        <w:jc w:val="left"/>
        <w:rPr>
          <w:rFonts w:ascii="Times New Roman" w:hAnsi="Times New Roman"/>
          <w:sz w:val="20"/>
        </w:rPr>
      </w:pPr>
      <w:r>
        <w:rPr>
          <w:rFonts w:ascii="Times New Roman" w:hAnsi="Times New Roman"/>
          <w:color w:val="000000"/>
          <w:sz w:val="20"/>
          <w:u w:val="single"/>
        </w:rPr>
        <w:t>Interest Rate Agreements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The Company has interest rate swap agreements, which are cash-flow hedges, maturing through January 31, 2029, that exchange a one-month forward-looking term rate based on the variable secured overnight financing rate (“Term SOFR”) paid on the outstanding balance of its USD Term Loan Facility, as defined and further described in Note 8, to a fixed rate. The notional value of the agreements was $500 and $1,900 as of June 30, 2026 and December 31, 2025, respectively. The decrease in notional value of the agreements was due to the Company de-designating certain interest rate swap agreements in the first quarter of 2026 in connection with the Company’s voluntary prepayment of the USD Tranche B loan, which resulted in the interest rate swaps no longer being effective hedges. The impact to the condensed consolidated financial statements was immaterial.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interest rate swaps are recorded at fair value on the balance sheet and changes in the fair value are recognized in OCI. To the extent these arrangements are no longer effective hedges, the hedging relationship will be discontinued and changes in the fair value of the hedging instruments from the date of the last effectiveness assessment through the current period will be recorded immediately in earnings. Amounts previously recorded in OCI will remain in OCI and will be reclassified to earnings when the interest payments impact consolidated earnings. If the Company determines that the interest payments are unlikely to occur, amounts previously recorded in OCI will be reclassified to earnings. The cash flows resulting from interest rate agreements were classified in cash flows from operating activities in the condensed consolidated statements of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net (losses) gains on derivatives designated as cash flow hedging instruments:</w:t>
      </w:r>
    </w:p>
    <w:p>
      <w:pPr>
        <w:pStyle w:val="TextBody"/>
        <w:bidi w:val="0"/>
        <w:jc w:val="left"/>
        <w:rPr/>
      </w:pPr>
      <w:r>
        <w:rPr/>
        <w:t> </w:t>
      </w:r>
    </w:p>
    <w:tbl>
      <w:tblPr>
        <w:tblW w:w="9767" w:type="dxa"/>
        <w:jc w:val="left"/>
        <w:tblInd w:w="0" w:type="dxa"/>
        <w:tblLayout w:type="fixed"/>
        <w:tblCellMar>
          <w:top w:w="28" w:type="dxa"/>
          <w:left w:w="28" w:type="dxa"/>
          <w:bottom w:w="28" w:type="dxa"/>
          <w:right w:w="28" w:type="dxa"/>
        </w:tblCellMar>
      </w:tblPr>
      <w:tblGrid>
        <w:gridCol w:w="6091"/>
        <w:gridCol w:w="146"/>
        <w:gridCol w:w="249"/>
        <w:gridCol w:w="409"/>
        <w:gridCol w:w="172"/>
        <w:gridCol w:w="172"/>
        <w:gridCol w:w="249"/>
        <w:gridCol w:w="320"/>
        <w:gridCol w:w="166"/>
        <w:gridCol w:w="146"/>
        <w:gridCol w:w="211"/>
        <w:gridCol w:w="346"/>
        <w:gridCol w:w="146"/>
        <w:gridCol w:w="146"/>
        <w:gridCol w:w="211"/>
        <w:gridCol w:w="376"/>
        <w:gridCol w:w="211"/>
      </w:tblGrid>
      <w:tr>
        <w:trPr/>
        <w:tc>
          <w:tcPr>
            <w:tcW w:w="6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Foreign exchange forward contracts-cash flow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(losses) gains recognized in OCI,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gains (losses) reclassified from accumulated OCI into 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Interest rate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gains (losses) recognized in OCI,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gains (losses) reclassified from accumulated OCI into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00"/>
        <w:jc w:val="left"/>
        <w:rPr>
          <w:rFonts w:ascii="Times New Roman" w:hAnsi="Times New Roman"/>
          <w:color w:val="000000"/>
          <w:sz w:val="20"/>
        </w:rPr>
      </w:pPr>
      <w:r>
        <w:rPr>
          <w:rFonts w:ascii="Times New Roman" w:hAnsi="Times New Roman"/>
          <w:color w:val="000000"/>
          <w:sz w:val="20"/>
        </w:rPr>
        <w:t>The Company expects an immaterial amount to be reclassified from accumulated OCI into cost of revenues during the next 12 months related to foreign exchange forward contracts. The Company expects a net gain of approximately $5 to be reclassified from accumulated OCI into interest expense during the next 12 months related to interest rate hedges.</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The following table summarizes the net gains (losses) on derivatives not designated as hedging instruments:</w:t>
      </w:r>
    </w:p>
    <w:p>
      <w:pPr>
        <w:pStyle w:val="TextBody"/>
        <w:bidi w:val="0"/>
        <w:jc w:val="left"/>
        <w:rPr/>
      </w:pPr>
      <w:r>
        <w:rPr/>
        <w:t> </w:t>
      </w:r>
    </w:p>
    <w:tbl>
      <w:tblPr>
        <w:tblW w:w="8600" w:type="dxa"/>
        <w:jc w:val="left"/>
        <w:tblInd w:w="0" w:type="dxa"/>
        <w:tblLayout w:type="fixed"/>
        <w:tblCellMar>
          <w:top w:w="28" w:type="dxa"/>
          <w:left w:w="28" w:type="dxa"/>
          <w:bottom w:w="28" w:type="dxa"/>
          <w:right w:w="28" w:type="dxa"/>
        </w:tblCellMar>
      </w:tblPr>
      <w:tblGrid>
        <w:gridCol w:w="4966"/>
        <w:gridCol w:w="146"/>
        <w:gridCol w:w="249"/>
        <w:gridCol w:w="409"/>
        <w:gridCol w:w="172"/>
        <w:gridCol w:w="172"/>
        <w:gridCol w:w="249"/>
        <w:gridCol w:w="320"/>
        <w:gridCol w:w="166"/>
        <w:gridCol w:w="146"/>
        <w:gridCol w:w="246"/>
        <w:gridCol w:w="246"/>
        <w:gridCol w:w="170"/>
        <w:gridCol w:w="170"/>
        <w:gridCol w:w="246"/>
        <w:gridCol w:w="316"/>
        <w:gridCol w:w="211"/>
      </w:tblGrid>
      <w:tr>
        <w:trPr/>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gains (losses) recognized in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Derivative instruments are subject to master netting arrangements. However, the Company has elected to record these contracts on a gross basis in the condensed consolidated balance sheet. The location and fair value amounts of derivative instruments reported in the condensed consolidated balance sheet is disclosed in Note 4.</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MKS INC.</w:t>
      </w:r>
    </w:p>
    <w:p>
      <w:pPr>
        <w:pStyle w:val="TextBody"/>
        <w:bidi w:val="0"/>
        <w:jc w:val="center"/>
        <w:rPr>
          <w:rFonts w:ascii="Times New Roman" w:hAnsi="Times New Roman"/>
          <w:color w:val="000000"/>
          <w:sz w:val="20"/>
        </w:rPr>
      </w:pPr>
      <w:r>
        <w:rPr>
          <w:rFonts w:ascii="Times New Roman" w:hAnsi="Times New Roman"/>
          <w:color w:val="000000"/>
          <w:sz w:val="20"/>
        </w:rPr>
        <w:t>NOTES TO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(in millions, except per share data)</w:t>
      </w:r>
    </w:p>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(6)</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Inventories</w:t>
      </w:r>
    </w:p>
    <w:p>
      <w:pPr>
        <w:pStyle w:val="TextBody"/>
        <w:bidi w:val="0"/>
        <w:jc w:val="left"/>
        <w:rPr>
          <w:rFonts w:ascii="Times New Roman" w:hAnsi="Times New Roman"/>
          <w:color w:val="000000"/>
          <w:sz w:val="20"/>
        </w:rPr>
      </w:pPr>
      <w:r>
        <w:rPr>
          <w:rFonts w:ascii="Times New Roman" w:hAnsi="Times New Roman"/>
          <w:color w:val="000000"/>
          <w:sz w:val="20"/>
        </w:rPr>
        <w:t>Inventories consist of the following:</w:t>
      </w:r>
    </w:p>
    <w:p>
      <w:pPr>
        <w:pStyle w:val="TextBody"/>
        <w:bidi w:val="0"/>
        <w:jc w:val="left"/>
        <w:rPr/>
      </w:pPr>
      <w:r>
        <w:rPr/>
        <w:t> </w:t>
      </w:r>
    </w:p>
    <w:tbl>
      <w:tblPr>
        <w:tblW w:w="4765" w:type="dxa"/>
        <w:jc w:val="left"/>
        <w:tblInd w:w="0" w:type="dxa"/>
        <w:tblLayout w:type="fixed"/>
        <w:tblCellMar>
          <w:top w:w="28" w:type="dxa"/>
          <w:left w:w="28" w:type="dxa"/>
          <w:bottom w:w="28" w:type="dxa"/>
          <w:right w:w="28" w:type="dxa"/>
        </w:tblCellMar>
      </w:tblPr>
      <w:tblGrid>
        <w:gridCol w:w="1456"/>
        <w:gridCol w:w="146"/>
        <w:gridCol w:w="295"/>
        <w:gridCol w:w="800"/>
        <w:gridCol w:w="146"/>
        <w:gridCol w:w="146"/>
        <w:gridCol w:w="494"/>
        <w:gridCol w:w="991"/>
        <w:gridCol w:w="29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(7)</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Goodwill and Intangible Assets</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Goodwill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Effective February 1, 2026, the Company reassigned goodwill to certain reporting units within PSD due to a reorganization of PSD. The goodwill was reassigned to the new reporting units using the relative fair value approach. The Company also concluded that the fair value of each reporting unit immediately before and after the reorganization exceeded its respective carrying value.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Goodwill associated with each of the Company’s reportable segments was as follows:</w:t>
      </w:r>
    </w:p>
    <w:tbl>
      <w:tblPr>
        <w:tblW w:w="10205" w:type="dxa"/>
        <w:jc w:val="left"/>
        <w:tblInd w:w="0" w:type="dxa"/>
        <w:tblLayout w:type="fixed"/>
        <w:tblCellMar>
          <w:top w:w="28" w:type="dxa"/>
          <w:left w:w="28" w:type="dxa"/>
          <w:bottom w:w="28" w:type="dxa"/>
          <w:right w:w="28" w:type="dxa"/>
        </w:tblCellMar>
      </w:tblPr>
      <w:tblGrid>
        <w:gridCol w:w="5754"/>
        <w:gridCol w:w="146"/>
        <w:gridCol w:w="211"/>
        <w:gridCol w:w="481"/>
        <w:gridCol w:w="166"/>
        <w:gridCol w:w="146"/>
        <w:gridCol w:w="211"/>
        <w:gridCol w:w="571"/>
        <w:gridCol w:w="166"/>
        <w:gridCol w:w="146"/>
        <w:gridCol w:w="211"/>
        <w:gridCol w:w="631"/>
        <w:gridCol w:w="166"/>
        <w:gridCol w:w="146"/>
        <w:gridCol w:w="211"/>
        <w:gridCol w:w="631"/>
        <w:gridCol w:w="211"/>
      </w:tblGrid>
      <w:tr>
        <w:trPr/>
        <w:tc>
          <w:tcPr>
            <w:tcW w:w="5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7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VSD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PSD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MSD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Reportable 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goodwill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goodwill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goodwill impairment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charge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goodwill impairment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net of accumulated impairment and foreign currency translation adjustments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u w:val="single"/>
        </w:rPr>
      </w:pPr>
      <w:r>
        <w:rPr>
          <w:rFonts w:ascii="Times New Roman" w:hAnsi="Times New Roman"/>
          <w:color w:val="000000"/>
          <w:sz w:val="20"/>
          <w:u w:val="single"/>
        </w:rPr>
        <w:t>Intangible Assets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Company’s intangible assets were comprised of the following: </w:t>
      </w:r>
    </w:p>
    <w:tbl>
      <w:tblPr>
        <w:tblW w:w="10205" w:type="dxa"/>
        <w:jc w:val="left"/>
        <w:tblInd w:w="0" w:type="dxa"/>
        <w:tblLayout w:type="fixed"/>
        <w:tblCellMar>
          <w:top w:w="28" w:type="dxa"/>
          <w:left w:w="28" w:type="dxa"/>
          <w:bottom w:w="28" w:type="dxa"/>
          <w:right w:w="28" w:type="dxa"/>
        </w:tblCellMar>
      </w:tblPr>
      <w:tblGrid>
        <w:gridCol w:w="2137"/>
        <w:gridCol w:w="146"/>
        <w:gridCol w:w="211"/>
        <w:gridCol w:w="571"/>
        <w:gridCol w:w="146"/>
        <w:gridCol w:w="146"/>
        <w:gridCol w:w="646"/>
        <w:gridCol w:w="1474"/>
        <w:gridCol w:w="166"/>
        <w:gridCol w:w="146"/>
        <w:gridCol w:w="352"/>
        <w:gridCol w:w="1059"/>
        <w:gridCol w:w="166"/>
        <w:gridCol w:w="146"/>
        <w:gridCol w:w="504"/>
        <w:gridCol w:w="901"/>
        <w:gridCol w:w="166"/>
        <w:gridCol w:w="146"/>
        <w:gridCol w:w="211"/>
        <w:gridCol w:w="571"/>
        <w:gridCol w:w="194"/>
      </w:tblGrid>
      <w:tr>
        <w:trPr/>
        <w:tc>
          <w:tcPr>
            <w:tcW w:w="21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Accumulated</w:t>
            </w:r>
            <w:r>
              <w:rPr>
                <w:rFonts w:ascii="Times New Roman" w:hAnsi="Times New Roman"/>
                <w:color w:val="000000"/>
                <w:sz w:val="20"/>
              </w:rPr>
              <w:t> </w:t>
            </w:r>
            <w:r>
              <w:rPr>
                <w:rFonts w:ascii="Times New Roman" w:hAnsi="Times New Roman"/>
                <w:color w:val="000000"/>
                <w:sz w:val="16"/>
              </w:rPr>
              <w:t>Impairment Charges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Foreign Currency Translation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Net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Completed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Patents, trademarks, trade names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37"/>
        <w:gridCol w:w="146"/>
        <w:gridCol w:w="211"/>
        <w:gridCol w:w="571"/>
        <w:gridCol w:w="146"/>
        <w:gridCol w:w="146"/>
        <w:gridCol w:w="646"/>
        <w:gridCol w:w="1474"/>
        <w:gridCol w:w="166"/>
        <w:gridCol w:w="146"/>
        <w:gridCol w:w="352"/>
        <w:gridCol w:w="1059"/>
        <w:gridCol w:w="166"/>
        <w:gridCol w:w="146"/>
        <w:gridCol w:w="504"/>
        <w:gridCol w:w="901"/>
        <w:gridCol w:w="166"/>
        <w:gridCol w:w="146"/>
        <w:gridCol w:w="211"/>
        <w:gridCol w:w="571"/>
        <w:gridCol w:w="194"/>
      </w:tblGrid>
      <w:tr>
        <w:trPr/>
        <w:tc>
          <w:tcPr>
            <w:tcW w:w="21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Accumulated</w:t>
            </w:r>
            <w:r>
              <w:rPr>
                <w:rFonts w:ascii="Times New Roman" w:hAnsi="Times New Roman"/>
                <w:color w:val="000000"/>
                <w:sz w:val="20"/>
              </w:rPr>
              <w:t> </w:t>
            </w:r>
            <w:r>
              <w:rPr>
                <w:rFonts w:ascii="Times New Roman" w:hAnsi="Times New Roman"/>
                <w:color w:val="000000"/>
                <w:sz w:val="16"/>
              </w:rPr>
              <w:t>Impairment Charges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Foreign Currency Translation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Net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Completed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Patents, trademarks, trade names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MKS INC.</w:t>
      </w:r>
    </w:p>
    <w:p>
      <w:pPr>
        <w:pStyle w:val="TextBody"/>
        <w:bidi w:val="0"/>
        <w:jc w:val="center"/>
        <w:rPr>
          <w:rFonts w:ascii="Times New Roman" w:hAnsi="Times New Roman"/>
          <w:color w:val="000000"/>
          <w:sz w:val="20"/>
        </w:rPr>
      </w:pPr>
      <w:r>
        <w:rPr>
          <w:rFonts w:ascii="Times New Roman" w:hAnsi="Times New Roman"/>
          <w:color w:val="000000"/>
          <w:sz w:val="20"/>
        </w:rPr>
        <w:t>NOTES TO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(in millions, except per share data)</w:t>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Aggregate amortization expense related to acquired intangible assets for the six months ended June 30, 2026 and 2025 was $125 and $122, respectively.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Aggregate amortization expense related to acquired intangible assets for future years is as follows:</w:t>
      </w:r>
    </w:p>
    <w:tbl>
      <w:tblPr>
        <w:tblW w:w="2544" w:type="dxa"/>
        <w:jc w:val="left"/>
        <w:tblInd w:w="0" w:type="dxa"/>
        <w:tblLayout w:type="fixed"/>
        <w:tblCellMar>
          <w:top w:w="28" w:type="dxa"/>
          <w:left w:w="28" w:type="dxa"/>
          <w:bottom w:w="28" w:type="dxa"/>
          <w:right w:w="28" w:type="dxa"/>
        </w:tblCellMar>
      </w:tblPr>
      <w:tblGrid>
        <w:gridCol w:w="1531"/>
        <w:gridCol w:w="146"/>
        <w:gridCol w:w="225"/>
        <w:gridCol w:w="451"/>
        <w:gridCol w:w="19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excluded from the above table intangible assets of $56 of indefinite-lived trademarks and trade names, which were not subject to amortization.</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(8)</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Debt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Company’s outstanding debt was as follows:</w:t>
      </w:r>
    </w:p>
    <w:tbl>
      <w:tblPr>
        <w:tblW w:w="7135" w:type="dxa"/>
        <w:jc w:val="left"/>
        <w:tblInd w:w="0" w:type="dxa"/>
        <w:tblLayout w:type="fixed"/>
        <w:tblCellMar>
          <w:top w:w="28" w:type="dxa"/>
          <w:left w:w="28" w:type="dxa"/>
          <w:bottom w:w="28" w:type="dxa"/>
          <w:right w:w="28" w:type="dxa"/>
        </w:tblCellMar>
      </w:tblPr>
      <w:tblGrid>
        <w:gridCol w:w="3606"/>
        <w:gridCol w:w="146"/>
        <w:gridCol w:w="295"/>
        <w:gridCol w:w="800"/>
        <w:gridCol w:w="166"/>
        <w:gridCol w:w="146"/>
        <w:gridCol w:w="399"/>
        <w:gridCol w:w="1086"/>
        <w:gridCol w:w="491"/>
      </w:tblGrid>
      <w:tr>
        <w:trPr/>
        <w:tc>
          <w:tcPr>
            <w:tcW w:w="3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 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Loan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 issuance costs -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Convertible Notes,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Times New Roman" w:hAnsi="Times New Roman"/>
                <w:color w:val="000000"/>
                <w:sz w:val="20"/>
              </w:rPr>
              <w:t>Total short-term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Loan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 issuance costs - Term Loan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Term Loan Facility,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 issuance costs -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Convertible Notes,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2034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 issuance costs - 2034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2034 Notes,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Times New Roman" w:hAnsi="Times New Roman"/>
                <w:color w:val="000000"/>
                <w:sz w:val="20"/>
              </w:rPr>
              <w:t>Total 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4,150</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40"/>
        <w:jc w:val="left"/>
        <w:rPr>
          <w:rFonts w:ascii="Times New Roman" w:hAnsi="Times New Roman"/>
          <w:color w:val="000000"/>
          <w:sz w:val="20"/>
          <w:u w:val="single"/>
        </w:rPr>
      </w:pPr>
      <w:r>
        <w:rPr>
          <w:rFonts w:ascii="Times New Roman" w:hAnsi="Times New Roman"/>
          <w:color w:val="000000"/>
          <w:sz w:val="20"/>
          <w:u w:val="single"/>
        </w:rPr>
        <w:t>Credit Facilities</w:t>
      </w:r>
    </w:p>
    <w:p>
      <w:pPr>
        <w:pStyle w:val="TextBody"/>
        <w:bidi w:val="0"/>
        <w:jc w:val="left"/>
        <w:rPr>
          <w:rFonts w:ascii="Times New Roman" w:hAnsi="Times New Roman"/>
          <w:color w:val="000000"/>
          <w:sz w:val="20"/>
        </w:rPr>
      </w:pPr>
      <w:r>
        <w:rPr>
          <w:rFonts w:ascii="Times New Roman" w:hAnsi="Times New Roman"/>
          <w:color w:val="000000"/>
          <w:sz w:val="20"/>
        </w:rPr>
        <w:t>On August 17, 2022, the Company entered into a credit agreement with JPMorgan Chase Bank, N.A., as administrative agent and collateral agent, Barclays Bank PLC, and the lenders from time to time party thereto, which the Company has amended several times, including most recently in February 2026 (as amended, the “Credit Agreement”). As of June 30, 2026, after giving effect to all amendments and repayments prior to such date, the Credit Agreement provided for (i) a senior secured term loan facility comprised of two tranches: a $812 loan (as refinanced and otherwise modified from time to time, the “USD Tranche B”) and a €585 loan (as refinanced and otherwise modified from time to time, the “Euro Tranche B” and together with the USD Tranche B, the “Term Loan Facility”) and (ii) a senior secured revolving credit facility with aggregate commitments of $1,000 (as refinanced and otherwise modified from time to time, the “Revolving Facility” and together with the Term Loan Facility, the “Credit Facilities”).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MKS INC.</w:t>
      </w:r>
    </w:p>
    <w:p>
      <w:pPr>
        <w:pStyle w:val="TextBody"/>
        <w:bidi w:val="0"/>
        <w:jc w:val="center"/>
        <w:rPr>
          <w:rFonts w:ascii="Times New Roman" w:hAnsi="Times New Roman"/>
          <w:color w:val="000000"/>
          <w:sz w:val="20"/>
        </w:rPr>
      </w:pPr>
      <w:r>
        <w:rPr>
          <w:rFonts w:ascii="Times New Roman" w:hAnsi="Times New Roman"/>
          <w:color w:val="000000"/>
          <w:sz w:val="20"/>
        </w:rPr>
        <w:t>NOTES TO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(in millions, except per share data)</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borrowings under the Credit Facilities bore interest at a rate per annum equal to, at the Company’s option, any of the following, plus, in each case, an applicable margin: (a) with respect to the USD Tranche B and the Revolving Facility, (x) a base rate determined by reference to the highest of (1) the federal funds effective rate plus 0.50%, (2) the prime rate quoted in The Wall Street Journal, or (3) a forward-looking term rate based on Term SOFR for an interest period of one month, plus 1.00%; and (y) a Term SOFR rate for the interest period relevant to such borrowing and (b) with respect to the Euro Tranche B, a Euro Interbank Offered Rate (“EURIBOR”) rate determined by reference to the costs of funds for Euro deposits for the interest period relevant to such borrowing adjusted for certain additional costs, in each case of clauses (a) and (b) above subject to a rate floor of 0.0%. As of June 30, 2026, the applicable margins for borrowings under the Credit Facilities were (i) under the USD Tranche B and the Revolving Facility, 0.75% with respect to base rate borrowings and 1.75% with respect to Term SOFR borrowings, and (ii) under the Euro Tranche B, 2.00%.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paying interest on outstanding principal under the Credit Facilities, the Company is required to pay a commitment fee in respect of the unutilized commitments under the Revolving Facility. The commitment fee is subject to adjustment based on the Company’s first lien net leverage ratio as of the end of the preceding fiscal quarter. As of June 30, 2026, the commitment fee was 0.25% per annum. The Company must also pay customary letter of credit fees and agency fees.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4, 2026, the Company entered into the Sixth Amendment to Credit Agreement (the “Sixth Amendment”), pursuant to which the Company, among other things, (i) refinanced its then-existing USD Tranche B loan and Euro Tranche B loan with the $914 USD Tranche B loan and the €587 Euro Tranche B loan, (ii) refinanced and increased the commitments under its then-existing Revolving Facility with the $1,000 Revolving Facility, (iii) decreased the applicable margin for the USD Tranche B from 2.00% to 1.75% with respect to Term SOFR borrowings and from 1.00% to 0.75% with respect to base rate borrowings, (iv) decreased the applicable margin for the Euro Tranche B from 2.50% to 2.00%, (v) decreased the applicable margin under the Revolving Facility from 2.50% to 1.75% with respect to SOFR borrowings and from 1.50% to 0.75% with respect to base rate borrowings, (vi) eliminated the credit spread adjustment applicable to SOFR borrowings of the Revolving Facility and (vii) extended the maturities of the Term Loan Facility to February 2033 and the Revolving Facility to February 2031. The refinanced USD Tranche B loan and Euro Tranche B loan were issued without original issue discount. In connection with the execution of the Sixth Amendment, the Company paid customary fees and expenses to JPMorgan Chase Bank, N.A.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4, 2026, concurrently with the effectiveness of the Sixth Amendment, the Company made a voluntary prepayment of $1,274 principal amount to its then-existing USD Tranche B loan using the net proceeds from the 2034 Notes (as defined below), together with cash on hand, reducing the outstanding principal amount of the USD Tranche B loan from $2,188 to $914.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each of May 6, 2026 and August 4, 2026, the Company made a voluntary prepayment of $100 principal amount on the USD Tranche B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Credit Agreement, the Company is required to prepay outstanding term loans, subject to certain exceptions, with portions of its annual excess cash flow as well as with the net cash proceeds of certain of its asset sales, certain casualty and condemnation events and the incurrence or issuances of certain debt. If at any time the aggregate amount of outstanding loans, unreimbursed letter of credit drawings and undrawn letters of credit under the Revolving Facility exceeds the aggregate commitments under the Revolving Facility, the Company is required to repay outstanding loans and/or cash collateralize letters of credit, with no reduction of the commitment amount.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may voluntarily prepay outstanding loans under the Credit Facilities from time to time, subject to certain conditions, without premium or penalty other than customary “breakage” costs with respect to Term SOFR or EURIBOR loans; provided, however, that subject to certain exceptions, if on or prior to August 4, 2026, the Company prepays any loans under the USD Tranche B or the Euro Tranche B in connection with a repricing transaction, the Company must pay a prepayment premium of 1.00% of the aggregate principal amount of the loans so prepaid. Additionally, the Company may voluntarily reduce the unutilized portion of the commitment amount under the Revolving Facility.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 was required to make scheduled quarterly principal payments equal to $2 with respect to the USD Tranche B and €2 with respect to the Euro Tranche B, in each case with the balance due thereunder on the maturity date of the Term Loan Facility. There is no scheduled amortization under the Revolving Facility. Any principal amount outstanding under the Revolving Facility is due and payable in full on the maturity date of the Revolving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obligations under the Credit Facilities are guaranteed by certain of the Company’s wholly-owned domestic subsidiaries and are required to be guaranteed by certain of the Company’s future wholly-owned domestic subsidiaries, and are secured by substantially all of the Company’s assets and the assets of such subsidiaries, subject to certain exceptions and exclusions.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MKS INC.</w:t>
      </w:r>
    </w:p>
    <w:p>
      <w:pPr>
        <w:pStyle w:val="TextBody"/>
        <w:bidi w:val="0"/>
        <w:jc w:val="center"/>
        <w:rPr>
          <w:rFonts w:ascii="Times New Roman" w:hAnsi="Times New Roman"/>
          <w:color w:val="000000"/>
          <w:sz w:val="20"/>
        </w:rPr>
      </w:pPr>
      <w:r>
        <w:rPr>
          <w:rFonts w:ascii="Times New Roman" w:hAnsi="Times New Roman"/>
          <w:color w:val="000000"/>
          <w:sz w:val="20"/>
        </w:rPr>
        <w:t>NOTES TO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(in millions, except per share data)</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Credit Agreement contains customary representations and warranties, covenants and provisions relating to events of default. If an event of default occurs, the lenders under the Credit Facilities will be entitled to take various actions, including the acceleration of amounts due under the Credit Facilities and all actions permitted to be taken by a secured creditor. As of June 30, 2026, the Company was in compliance with all covenants under the Credit Agreement. The USD Tranche B and the Euro Tranche B are not subject to financial maintenance covenants.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weighted average interest rate of the Term Loan Facility was 4.75%. As of June 30, 2026, there were no borrowings under the Revolving Facility.</w:t>
      </w:r>
    </w:p>
    <w:p>
      <w:pPr>
        <w:pStyle w:val="TextBody"/>
        <w:bidi w:val="0"/>
        <w:spacing w:before="240" w:after="240"/>
        <w:jc w:val="left"/>
        <w:rPr>
          <w:rFonts w:ascii="Times New Roman" w:hAnsi="Times New Roman"/>
          <w:color w:val="000000"/>
          <w:sz w:val="20"/>
          <w:u w:val="single"/>
        </w:rPr>
      </w:pPr>
      <w:r>
        <w:rPr>
          <w:rFonts w:ascii="Times New Roman" w:hAnsi="Times New Roman"/>
          <w:color w:val="000000"/>
          <w:sz w:val="20"/>
          <w:u w:val="single"/>
        </w:rPr>
        <w:t>Convertible Notes</w:t>
      </w:r>
    </w:p>
    <w:p>
      <w:pPr>
        <w:pStyle w:val="TextBody"/>
        <w:bidi w:val="0"/>
        <w:jc w:val="left"/>
        <w:rPr>
          <w:rFonts w:ascii="Times New Roman" w:hAnsi="Times New Roman"/>
          <w:color w:val="000000"/>
          <w:sz w:val="20"/>
        </w:rPr>
      </w:pPr>
      <w:r>
        <w:rPr>
          <w:rFonts w:ascii="Times New Roman" w:hAnsi="Times New Roman"/>
          <w:color w:val="000000"/>
          <w:sz w:val="20"/>
        </w:rPr>
        <w:t xml:space="preserve">On May 16, 2024, the Company completed a private offering of $1,400 aggregate principal amount of its convertible senior notes due 2030 (the “Convertible Notes”).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net proceeds from the offering were approximately $1,374 after deducting the initial purchasers’ discounts and commissions and estimated offering expenses paid by the Company. The Company used approximately $167 of the net proceeds from the offering to pay the cost of the capped call transactions described below. The Company used the remaining net proceeds from the offering to repay approximately $1,206 in borrowings outstanding under the USD Tranche B, together with accrued interest, as well as for general corporate purposes.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Convertible Notes Indenture and the Convertible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16, 2024, the Company entered into an indenture (the “Convertible Notes Indenture”) with respect to the Convertible Notes with U.S. Bank Trust Company, National Association, as trustee (the “Convertible Notes Trustee”). Under the Convertible Notes Indenture, the Convertible Notes are senior unsecured obligations of the Company and bear interest at a coupon rate of 1.25% per annum, with interest payable semiannually in arrears on June 1 and December 1 of each year, beginning on December 1, 2024. The Convertible Notes will mature on June 1, 2030, unless earlier converted, redeemed or repurchased in accordance with their terms.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 to certain conditions, on or after June 5, 2027, the Company may redeem for cash all or any portion of the Convertible Notes at a redemption price equal to 100% of the principal amount of the Convertible Notes to be redeemed, plus accrued and unpaid interest to, but excluding, the redemption date, if the last reported sale price of the Company’s common stock has been at least 130% of the conversion price then in effect for at least 20 trading days (whether or not consecutive) during the period of 30 consecutive trading days ending on, and including, the trading day immediately preceding the date the notice of redemption is sent.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conversion rate for the Convertible Notes was 6.4813 shares of the Company’s common stock per one thousand dollars principal amount of the Convertible Notes, which is equivalent to a conversion price of approximately $154.29 per share. The conversion rate is subject to adjustment upon the occurrence of certain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conversion, the Company will pay cash up to the aggregate principal amount of the Convertible Notes to be converted and pay or deliver, as the case may be, cash, shares of common stock or a combination of cash and shares of common stock, at the Company’s election, in respect of the remainder, if any, of its conversion obligation in excess of the aggregate principal amount of the Convertible Notes being converted. Prior to the close of business on the business day immediately preceding March 1, 2030, noteholders may convert all or any portion of their Convertible Notes under the following circumstances: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during any calendar quarter (and only during such calendar quarter) commencing after the calendar quarter ended September 30, 2024, if the last reported sale price of the common stock for at least 20</w:t>
      </w:r>
      <w:r>
        <w:rPr>
          <w:color w:val="000000"/>
        </w:rPr>
        <w:t xml:space="preserve"> </w:t>
      </w:r>
      <w:r>
        <w:rPr>
          <w:rFonts w:ascii="Times New Roman" w:hAnsi="Times New Roman"/>
          <w:color w:val="000000"/>
          <w:sz w:val="20"/>
        </w:rPr>
        <w:t>trading days (whether or not consecutive) during the period of 30 consecutive trading days ending on, and including, the last trading day of the immediately preceding calendar quarter is greater than or equal to 130% of the applicable conversion price of the Convertible Notes on each applicable trading day (the “Sale Price Condition”) (approximately $200.58</w:t>
      </w:r>
      <w:r>
        <w:rPr>
          <w:color w:val="000000"/>
        </w:rPr>
        <w:t xml:space="preserve"> </w:t>
      </w:r>
      <w:r>
        <w:rPr>
          <w:rFonts w:ascii="Times New Roman" w:hAnsi="Times New Roman"/>
          <w:color w:val="000000"/>
          <w:sz w:val="20"/>
        </w:rPr>
        <w:t>per share based on the current conversion price of approximately $154.29</w:t>
      </w:r>
      <w:r>
        <w:rPr>
          <w:color w:val="000000"/>
        </w:rPr>
        <w:t xml:space="preserve"> </w:t>
      </w:r>
      <w:r>
        <w:rPr>
          <w:rFonts w:ascii="Times New Roman" w:hAnsi="Times New Roman"/>
          <w:color w:val="000000"/>
          <w:sz w:val="20"/>
        </w:rPr>
        <w:t>per share, which is subject to further adjustment upon the occurrence of certain events);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during the five business day period after any five</w:t>
      </w:r>
      <w:r>
        <w:rPr>
          <w:color w:val="000000"/>
        </w:rPr>
        <w:t xml:space="preserve"> </w:t>
      </w:r>
      <w:r>
        <w:rPr>
          <w:rFonts w:ascii="Times New Roman" w:hAnsi="Times New Roman"/>
          <w:color w:val="000000"/>
          <w:sz w:val="20"/>
        </w:rPr>
        <w:t>consecutive trading day period (the “measurement period”) in which the trading price per $1,000</w:t>
      </w:r>
      <w:r>
        <w:rPr>
          <w:color w:val="000000"/>
        </w:rPr>
        <w:t xml:space="preserve"> </w:t>
      </w:r>
      <w:r>
        <w:rPr>
          <w:rFonts w:ascii="Times New Roman" w:hAnsi="Times New Roman"/>
          <w:color w:val="000000"/>
          <w:sz w:val="20"/>
        </w:rPr>
        <w:t>principal amount of Convertible Notes for each trading day of the measurement period was less than 98% of the product of the last reported sale price of the Company’s common stock and the applicable conversion rate on each such trading day;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Company calls any or all of the Convertible Notes for redemption, at any time prior to the close of business on the second scheduled trading day immediately preceding the redemption date; or</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MKS INC.</w:t>
      </w:r>
    </w:p>
    <w:p>
      <w:pPr>
        <w:pStyle w:val="TextBody"/>
        <w:bidi w:val="0"/>
        <w:jc w:val="center"/>
        <w:rPr>
          <w:rFonts w:ascii="Times New Roman" w:hAnsi="Times New Roman"/>
          <w:color w:val="000000"/>
          <w:sz w:val="20"/>
        </w:rPr>
      </w:pPr>
      <w:r>
        <w:rPr>
          <w:rFonts w:ascii="Times New Roman" w:hAnsi="Times New Roman"/>
          <w:color w:val="000000"/>
          <w:sz w:val="20"/>
        </w:rPr>
        <w:t>NOTES TO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(in millions, except per share data)</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the occurrence of specified corporate events as specified in the Convertible Notes Indenture.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or after March 1, 2030, until the close of business on the second scheduled trading day immediately preceding the maturity date, noteholders may convert all or any portion of their Convertible Notes at any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 Company undergoes a fundamental change (as defined in the Convertible Notes Indenture) prior to the maturity date of the Convertible Notes, holders may require the Company to repurchase for cash all or any portion of their Convertible Notes at a fundamental change repurchase price equal to 100% of the principal amount of the Convertible Notes to be repurchased, plus any accrued and unpaid interest to, but excluding, the fundamental change repurchase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Convertible Notes Indenture contains customary terms and covenants, including that upon certain events of default that are occurring and continuing, either the Convertible Notes Trustee or the holders of at least 25% in aggregate principal amount of the outstanding Convertible Notes may declare 100% of the principal of, and accrued and unpaid interest, if any, on, all the Convertible Notes to be due and payable. The Convertible Notes are not subject to financial maintenance covenants.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Sale Price Condition for the Convertible Notes was met during the calendar quarter ended June 30, 2026, and as a result, the Convertible Notes are convertible, in whole or in part, at the option of the holders thereof at any time during the calendar quarter ending September 30, 2026 and have been classified as short-term debt, net of issuance costs, on the condensed consolidated balance sheet at June 30, 2026. The Convertible Notes were issued at par and costs associated with the issuance of the Convertible Notes are amortized to interest expense over the contractual term of the Convertible Notes. As of June 30, 2026, $1,400 in aggregate principal amount of the Convertible Notes remained outstanding. As of June 30, 2026, the effective interest rate of the Convertible Notes was 1.56%.</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Capped Call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13, 2024, in connection with the pricing of the Convertible Notes, and on May 14, 2024, in connection with the exercise in full by the initial purchasers of their option to purchase additional Convertible Notes, the Company entered into privately negotiated capped call transactions (“Convertible Debt Capped Calls”) with certain of the initial purchasers of the Convertible Notes or their respective affiliates and other financial institutions. The Convertible Debt Capped Calls are expected generally to reduce the potential dilution to the Company’s common stock upon conversion of any Convertible Notes and/or offset any cash payments that the Company is required to make in excess of the principal amount of any converted Convertible Notes, as the case may be, with such reduction and/or offset subject to a cap initially equal to $237.42 per share, which represents a premium of 100% over the last reported sale price of $118.71 per share of the Company’s common stock on The Nasdaq Global Select Market on May 13, 2024, and which is subject to adjustments under the terms of the Convertible Debt Capped Calls.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Convertible Debt Capped Calls were recorded separately from the Convertible Notes as a reduction to additional paid-in capital in the condensed consolidated balance sheet as the Convertible Debt Capped Calls are indexed to the Company’s own stock and met the criteria to be classified in stockholders’ equity. </w:t>
      </w:r>
    </w:p>
    <w:p>
      <w:pPr>
        <w:pStyle w:val="TextBody"/>
        <w:bidi w:val="0"/>
        <w:spacing w:before="240" w:after="240"/>
        <w:jc w:val="left"/>
        <w:rPr>
          <w:rFonts w:ascii="Times New Roman" w:hAnsi="Times New Roman"/>
          <w:color w:val="000000"/>
          <w:sz w:val="20"/>
          <w:u w:val="single"/>
        </w:rPr>
      </w:pPr>
      <w:r>
        <w:rPr>
          <w:rFonts w:ascii="Times New Roman" w:hAnsi="Times New Roman"/>
          <w:color w:val="000000"/>
          <w:sz w:val="20"/>
          <w:u w:val="single"/>
        </w:rPr>
        <w:t>2034 Notes</w:t>
      </w:r>
    </w:p>
    <w:p>
      <w:pPr>
        <w:pStyle w:val="TextBody"/>
        <w:bidi w:val="0"/>
        <w:jc w:val="left"/>
        <w:rPr>
          <w:rFonts w:ascii="Times New Roman" w:hAnsi="Times New Roman"/>
          <w:color w:val="000000"/>
          <w:sz w:val="20"/>
        </w:rPr>
      </w:pPr>
      <w:r>
        <w:rPr>
          <w:rFonts w:ascii="Times New Roman" w:hAnsi="Times New Roman"/>
          <w:color w:val="000000"/>
          <w:sz w:val="20"/>
        </w:rPr>
        <w:t xml:space="preserve">On February 4, 2026, the Company completed a private offering (the “2034 Notes Offering”) of €1,000 aggregate principal amount of senior notes due 2034 (the “2034 Notes”). The 2034 Notes were sold in a private placement to persons reasonably believed to be qualified institutional buyers in reliance on Rule 144A under the Securities Act of 1933, as amended (the “Securities Act”), and to non-U.S. persons outside the United States in reliance on Regulation S under the Securities Act. The Company used the net proceeds from the 2034 Notes Offering, together with cash on hand, to prepay approximately $1,274 of the USD Tranche B.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2034 Notes Indenture and the 2034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4, 2026, the Company and the Guarantors (as defined below) entered into an indenture (the “2034 Notes Indenture”) with respect to the 2034 Notes with U.S. Bank Trust Company, National Association, as trustee (the “2034 Notes Trustee”).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2034 Notes Indenture, the 2034 Notes bear interest at a rate of 4.250% per annum, with interest payable semiannually in arrears on February 15 and August 15 of each year, beginning on August 15, 2026. The 2034 Notes will mature on February 15, 2034, unless earlier redeemed or repurchased in accordance with their terms.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MKS INC.</w:t>
      </w:r>
    </w:p>
    <w:p>
      <w:pPr>
        <w:pStyle w:val="TextBody"/>
        <w:bidi w:val="0"/>
        <w:jc w:val="center"/>
        <w:rPr>
          <w:rFonts w:ascii="Times New Roman" w:hAnsi="Times New Roman"/>
          <w:color w:val="000000"/>
          <w:sz w:val="20"/>
        </w:rPr>
      </w:pPr>
      <w:r>
        <w:rPr>
          <w:rFonts w:ascii="Times New Roman" w:hAnsi="Times New Roman"/>
          <w:color w:val="000000"/>
          <w:sz w:val="20"/>
        </w:rPr>
        <w:t>NOTES TO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(in millions, except per share data)</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2034 Notes are unconditionally guaranteed, on a senior unsecured basis, jointly and severally, by the Company’s existing and future subsidiaries that guarantee the Credit Agreement or are required to become guarantors under certain circumstances and subject to certain exceptions (the “Guarantors”).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2034 Notes and the guarantees are general senior unsecured obligations of the Company and the Guarantors. The 2034 Notes and guarantees will be: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pari passu</w:t>
      </w:r>
      <w:r>
        <w:rPr>
          <w:color w:val="000000"/>
        </w:rPr>
        <w:t xml:space="preserve"> </w:t>
      </w:r>
      <w:r>
        <w:rPr>
          <w:rFonts w:ascii="Times New Roman" w:hAnsi="Times New Roman"/>
          <w:color w:val="000000"/>
          <w:sz w:val="20"/>
        </w:rPr>
        <w:t>in right of payment with any of the Company’s and the Guarantors’ existing and future unsubordinated indebtedness (including the Credit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effectively subordinated to the Company’s and the Guarantors’ existing and future secured indebtedness (including the Credit Agreement) to the extent of the value of the assets securing such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senior in right of payment to any of the Company’s and the Guarantors’ future subordinated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structurally senior to any existing and future indebtedness of the Company that is not guaranteed by the Guarantors (including the Convertible Notes);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structurally subordinated to any existing and future indebtedness and other liabilities of the Company’s and the Guarantors’ subsidiaries that are not and do not become Guarantors.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any time prior to February 15, 2029, the Company may redeem the 2034 Notes in whole or in part at a redemption price equal to 100% of their principal amount, plus a make-whole premium, plus accrued and unpaid interest, if any, and additional amounts, if any, to, but excluding, the redemption date.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At any time and from time to time on or after February 15, 2029, the Company may redeem for cash all or any portion of the 2034 Notes at a redemption price equal to the percentage of principal amount set forth below, plus accrued and unpaid interest, if any, and additional amounts, if any, to, but excluding, the applicable redemption date, if redeemed during the twelve-month period beginning on February 15 of the year indicated below:</w:t>
      </w:r>
    </w:p>
    <w:tbl>
      <w:tblPr>
        <w:tblW w:w="3230" w:type="dxa"/>
        <w:jc w:val="left"/>
        <w:tblInd w:w="0" w:type="dxa"/>
        <w:tblLayout w:type="fixed"/>
        <w:tblCellMar>
          <w:top w:w="28" w:type="dxa"/>
          <w:left w:w="28" w:type="dxa"/>
          <w:bottom w:w="28" w:type="dxa"/>
          <w:right w:w="28" w:type="dxa"/>
        </w:tblCellMar>
      </w:tblPr>
      <w:tblGrid>
        <w:gridCol w:w="1696"/>
        <w:gridCol w:w="146"/>
        <w:gridCol w:w="146"/>
        <w:gridCol w:w="146"/>
        <w:gridCol w:w="1096"/>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Percentage</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102.125%</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101.0625%</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 and 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100.000%</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any time and from time to time prior to February 15, 2029, the Company may redeem up to 40% of the original aggregate principal amount of the 2034 Notes using the net cash proceeds of certain equity offerings at a redemption price equal to 104.250%.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of certain developments affecting taxation, the Company may elect to redeem all, but not less than all, of the 2034 Notes at 100% of their principal amount, plus accrued and unpaid interest, if any, and additional amounts, if any, to, but excluding, the date fixed for redemption.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the occurrence of a change of control triggering event (as defined in the 2034 Notes Indenture), each holder of the 2034 Notes may require the Company to repurchase all or a portion of their 2034 Notes at a price equal to 101% of their principal amount plus accrued and unpaid interest, if any, and additional amounts, if any, to, but excluding, the repurchase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2034 Notes Indenture contains customary terms and covenants that limit the ability of the Company and its Restricted Subsidiaries (as defined in the 2034 Notes Indenture) to, among other things, (i) incur liens, (ii) provide guarantees and (iii) consolidate, merge or sell or otherwise dispose of substantially all their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2034 Notes Indenture also provides for customary events of default. Upon certain events of default that are occurring and continuing, either the 2034 Notes Trustee or the holders of at least 30% in aggregate principal amount of the outstanding 2034 Notes may declare the principal of, and accrued and unpaid interest, if any, and additional amounts, if any, on, all the 2034 Notes to be due and payable. In the event of certain insolvency and bankruptcy related events of default specified in the 2034 Notes Indenture, the principal of, and accrued and unpaid interest, if any, and additional amounts, if any, on, all the 2034 Notes shall automatically become due and payable. The 2034 Notes are not subject to financial maintenance covenants.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effective interest rate of the 2034 Notes was 4.45%.</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MKS INC.</w:t>
      </w:r>
    </w:p>
    <w:p>
      <w:pPr>
        <w:pStyle w:val="TextBody"/>
        <w:bidi w:val="0"/>
        <w:jc w:val="center"/>
        <w:rPr>
          <w:rFonts w:ascii="Times New Roman" w:hAnsi="Times New Roman"/>
          <w:color w:val="000000"/>
          <w:sz w:val="20"/>
        </w:rPr>
      </w:pPr>
      <w:r>
        <w:rPr>
          <w:rFonts w:ascii="Times New Roman" w:hAnsi="Times New Roman"/>
          <w:color w:val="000000"/>
          <w:sz w:val="20"/>
        </w:rPr>
        <w:t>NOTES TO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(in millions, except per share data)</w:t>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Company’s interest expense was as follows:</w:t>
      </w:r>
    </w:p>
    <w:tbl>
      <w:tblPr>
        <w:tblW w:w="8632" w:type="dxa"/>
        <w:jc w:val="left"/>
        <w:tblInd w:w="0" w:type="dxa"/>
        <w:tblLayout w:type="fixed"/>
        <w:tblCellMar>
          <w:top w:w="28" w:type="dxa"/>
          <w:left w:w="28" w:type="dxa"/>
          <w:bottom w:w="28" w:type="dxa"/>
          <w:right w:w="28" w:type="dxa"/>
        </w:tblCellMar>
      </w:tblPr>
      <w:tblGrid>
        <w:gridCol w:w="3736"/>
        <w:gridCol w:w="146"/>
        <w:gridCol w:w="314"/>
        <w:gridCol w:w="554"/>
        <w:gridCol w:w="234"/>
        <w:gridCol w:w="234"/>
        <w:gridCol w:w="314"/>
        <w:gridCol w:w="554"/>
        <w:gridCol w:w="166"/>
        <w:gridCol w:w="146"/>
        <w:gridCol w:w="295"/>
        <w:gridCol w:w="430"/>
        <w:gridCol w:w="219"/>
        <w:gridCol w:w="219"/>
        <w:gridCol w:w="295"/>
        <w:gridCol w:w="565"/>
        <w:gridCol w:w="21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Term Loan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Contractual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 xml:space="preserve">Amortization of debt issuance costs as interest </w:t>
              <w:br/>
              <w: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interest expense on Term Loan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Contractual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 xml:space="preserve">Amortization of debt issuance costs as </w:t>
              <w:br/>
              <w:t>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interest expense on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2034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Contractual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 xml:space="preserve">Amortization of debt issuance costs as interest </w:t>
              <w:br/>
              <w: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interest expense on 2034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Other interest expense (income), net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Other interest expense (income), net primarily consists of interest expense (income) related to the Company’s interest rate swap agreements. </w:t>
      </w:r>
    </w:p>
    <w:p>
      <w:pPr>
        <w:pStyle w:val="TextBody"/>
        <w:bidi w:val="0"/>
        <w:spacing w:before="240" w:after="240"/>
        <w:jc w:val="left"/>
        <w:rPr>
          <w:rFonts w:ascii="Times New Roman" w:hAnsi="Times New Roman"/>
          <w:sz w:val="20"/>
        </w:rPr>
      </w:pPr>
      <w:r>
        <w:rPr>
          <w:rFonts w:ascii="Times New Roman" w:hAnsi="Times New Roman"/>
          <w:color w:val="000000"/>
          <w:sz w:val="20"/>
          <w:u w:val="single"/>
        </w:rPr>
        <w:t>Lines of Credit and Borrowing Arrangements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Certain of the Company’s Japanese subsidiaries have lines of credit and a financing facility with various financial institutions, many of which generally expire and are renewed at three-month intervals with the remaining having no expiration date. The lines of credit and financing facility provided for aggregate borrowings of up to an equivalent of $12 and $13 as of June 30, 2026 and December 31, 2025, respectively. There were no borrowings outstanding under these arrangements at June 30, 2026 and December 31, 2025.</w:t>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Contractual maturities of the Company’s debt obligations as of June 30, 2026 are as follows: </w:t>
      </w:r>
    </w:p>
    <w:tbl>
      <w:tblPr>
        <w:tblW w:w="2650" w:type="dxa"/>
        <w:jc w:val="left"/>
        <w:tblInd w:w="0" w:type="dxa"/>
        <w:tblLayout w:type="fixed"/>
        <w:tblCellMar>
          <w:top w:w="28" w:type="dxa"/>
          <w:left w:w="28" w:type="dxa"/>
          <w:bottom w:w="28" w:type="dxa"/>
          <w:right w:w="28" w:type="dxa"/>
        </w:tblCellMar>
      </w:tblPr>
      <w:tblGrid>
        <w:gridCol w:w="1531"/>
        <w:gridCol w:w="146"/>
        <w:gridCol w:w="211"/>
        <w:gridCol w:w="571"/>
        <w:gridCol w:w="19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(9)</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Product Warranties</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provides for the estimated costs to fulfill customer warranty obligations upon the recognition of the related revenue. The Company’s warranty obligations are affected by shipment volume, product failure rates, utilization levels, material usage and supplier warranties on parts delivered to the Company. Should actual product failure rates, utilization levels, material usage, or supplier warranties on parts differ from the Company’s estimates, revisions to the estimated warranty liability would be required. The Company engages in extensive product quality programs and processes, including actively monitoring and evaluating the quality of its component suppliers.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MKS INC.</w:t>
      </w:r>
    </w:p>
    <w:p>
      <w:pPr>
        <w:pStyle w:val="TextBody"/>
        <w:bidi w:val="0"/>
        <w:jc w:val="center"/>
        <w:rPr>
          <w:rFonts w:ascii="Times New Roman" w:hAnsi="Times New Roman"/>
          <w:color w:val="000000"/>
          <w:sz w:val="20"/>
        </w:rPr>
      </w:pPr>
      <w:r>
        <w:rPr>
          <w:rFonts w:ascii="Times New Roman" w:hAnsi="Times New Roman"/>
          <w:color w:val="000000"/>
          <w:sz w:val="20"/>
        </w:rPr>
        <w:t>NOTES TO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(in millions, except per share data)</w:t>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Product warranty activities were as follows:</w:t>
      </w:r>
    </w:p>
    <w:tbl>
      <w:tblPr>
        <w:tblW w:w="5476" w:type="dxa"/>
        <w:jc w:val="left"/>
        <w:tblInd w:w="0" w:type="dxa"/>
        <w:tblLayout w:type="fixed"/>
        <w:tblCellMar>
          <w:top w:w="28" w:type="dxa"/>
          <w:left w:w="28" w:type="dxa"/>
          <w:bottom w:w="28" w:type="dxa"/>
          <w:right w:w="28" w:type="dxa"/>
        </w:tblCellMar>
      </w:tblPr>
      <w:tblGrid>
        <w:gridCol w:w="2916"/>
        <w:gridCol w:w="146"/>
        <w:gridCol w:w="287"/>
        <w:gridCol w:w="512"/>
        <w:gridCol w:w="226"/>
        <w:gridCol w:w="199"/>
        <w:gridCol w:w="287"/>
        <w:gridCol w:w="512"/>
        <w:gridCol w:w="391"/>
      </w:tblGrid>
      <w:tr>
        <w:trPr/>
        <w:tc>
          <w:tcPr>
            <w:tcW w:w="2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product warranties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Charges to warranty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Short-term product warranties of $20 and long-term product warranties of $4, each as of June 30, 2026, are included within other current liabilities and other non-current liabilities, respectively, within the accompanying condensed consolidated balance sheet. Short-term product warranties of $15 and long-term product warranties of $8, each as of June 30, 2025, are included within other current liabilities and other non-current liabilities, respectively, within the respective condensed consolidated balance sheet.</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Other Current Liabilities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Other current liabilities consisted of the following:</w:t>
      </w:r>
    </w:p>
    <w:tbl>
      <w:tblPr>
        <w:tblW w:w="8630" w:type="dxa"/>
        <w:jc w:val="left"/>
        <w:tblInd w:w="0" w:type="dxa"/>
        <w:tblLayout w:type="fixed"/>
        <w:tblCellMar>
          <w:top w:w="28" w:type="dxa"/>
          <w:left w:w="28" w:type="dxa"/>
          <w:bottom w:w="28" w:type="dxa"/>
          <w:right w:w="28" w:type="dxa"/>
        </w:tblCellMar>
      </w:tblPr>
      <w:tblGrid>
        <w:gridCol w:w="5221"/>
        <w:gridCol w:w="146"/>
        <w:gridCol w:w="365"/>
        <w:gridCol w:w="730"/>
        <w:gridCol w:w="146"/>
        <w:gridCol w:w="146"/>
        <w:gridCol w:w="494"/>
        <w:gridCol w:w="991"/>
        <w:gridCol w:w="391"/>
      </w:tblGrid>
      <w:tr>
        <w:trPr/>
        <w:tc>
          <w:tcPr>
            <w:tcW w:w="5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other employee-related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and customer advances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Income Taxes</w:t>
      </w:r>
    </w:p>
    <w:p>
      <w:pPr>
        <w:pStyle w:val="TextBody"/>
        <w:bidi w:val="0"/>
        <w:jc w:val="left"/>
        <w:rPr>
          <w:rFonts w:ascii="Times New Roman" w:hAnsi="Times New Roman"/>
          <w:color w:val="000000"/>
          <w:sz w:val="20"/>
        </w:rPr>
      </w:pPr>
      <w:r>
        <w:rPr>
          <w:rFonts w:ascii="Times New Roman" w:hAnsi="Times New Roman"/>
          <w:color w:val="000000"/>
          <w:sz w:val="20"/>
        </w:rPr>
        <w:t>The Company’s effective tax rate for both the three and six months ended June 30, 2026 was 17.8% and was lower than the U.S. statutory tax rate primarily due to the U.S. deduction for foreign-derived deduction eligible income and research and development tax credits, partially offset by foreign withholding taxes and a waiver of deductions related to U.S. base erosion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effective tax rates for the three and six months ended June 30, 2025 were 13.6% and 13.0%, respectively, and were lower than the U.S. statutory tax rate primarily due to the U.S. deduction for foreign-derived intangible income and research and development tax credits, partially offset by foreign withholding taxes and a waiver of deductions related to U.S. base erosion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4, 2025, the One Big Beautiful Bill Act (the “OBBBA”) was enacted into law. The OBBBA includes changes to the U.S. tax code, such as the permanent extension of certain expiring provisions of the Tax Cuts and Jobs Act, modifications to the international tax framework and the restoration of favorable tax treatment for certain business provisions. The OBBBA has multiple effective dates, with certain provisions effective in 2025 and others implemented through 2027. These changes to the U.S. tax code have not had a material impact on the Company’s results since the enactment of OBBBA and the Company does not anticipate these changes to the U.S. tax code will have a material impact on its results in future periods.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MKS INC.</w:t>
      </w:r>
    </w:p>
    <w:p>
      <w:pPr>
        <w:pStyle w:val="TextBody"/>
        <w:bidi w:val="0"/>
        <w:jc w:val="center"/>
        <w:rPr>
          <w:rFonts w:ascii="Times New Roman" w:hAnsi="Times New Roman"/>
          <w:color w:val="000000"/>
          <w:sz w:val="20"/>
        </w:rPr>
      </w:pPr>
      <w:r>
        <w:rPr>
          <w:rFonts w:ascii="Times New Roman" w:hAnsi="Times New Roman"/>
          <w:color w:val="000000"/>
          <w:sz w:val="20"/>
        </w:rPr>
        <w:t>NOTES TO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(in millions, except per share data)</w:t>
      </w:r>
    </w:p>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Net Income Per Share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sets forth the computation of basic and diluted net income per share:</w:t>
      </w:r>
    </w:p>
    <w:tbl>
      <w:tblPr>
        <w:tblW w:w="9174" w:type="dxa"/>
        <w:jc w:val="left"/>
        <w:tblInd w:w="0" w:type="dxa"/>
        <w:tblLayout w:type="fixed"/>
        <w:tblCellMar>
          <w:top w:w="28" w:type="dxa"/>
          <w:left w:w="28" w:type="dxa"/>
          <w:bottom w:w="28" w:type="dxa"/>
          <w:right w:w="28" w:type="dxa"/>
        </w:tblCellMar>
      </w:tblPr>
      <w:tblGrid>
        <w:gridCol w:w="3921"/>
        <w:gridCol w:w="146"/>
        <w:gridCol w:w="282"/>
        <w:gridCol w:w="624"/>
        <w:gridCol w:w="195"/>
        <w:gridCol w:w="195"/>
        <w:gridCol w:w="282"/>
        <w:gridCol w:w="624"/>
        <w:gridCol w:w="146"/>
        <w:gridCol w:w="146"/>
        <w:gridCol w:w="259"/>
        <w:gridCol w:w="573"/>
        <w:gridCol w:w="179"/>
        <w:gridCol w:w="179"/>
        <w:gridCol w:w="259"/>
        <w:gridCol w:w="573"/>
        <w:gridCol w:w="591"/>
      </w:tblGrid>
      <w:tr>
        <w:trPr/>
        <w:tc>
          <w:tcPr>
            <w:tcW w:w="3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Shares used in net income per share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92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Dilutive effect of potential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9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Shares used in net income per share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earnings per share is computed by dividing net income by the weighted-average number of shares of common stock outstanding during the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Diluted net income per share is computed by dividing net income by the weighted-average number of shares of common stock and potentially dilutive shares of common stock outstanding during the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dilutive effect of equity awards is calculated based on the average stock price for the relevant period, using the treasury stock method. In periods in which a net loss is recognized, the impact of equity awards is not included as they would be antidilutive. For the three and six months ended June 30, 2026, the Company had an immaterial quantity of equity awards that were antidilutive and excluded from the computation of diluted weighted-average number of shares. For each of the three and six months ended June 30, 2025, there were 0.2 of restricted stock units (“RSUs”) that were antidilutive and excluded from the computation of diluted weighted-average number of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dilutive effect of the Convertible Notes is calculated under the if-converted method. Interest expense, net of tax, is not added back to net income to calculate diluted net income per share as the principal amount of the Convertible Notes is required to be paid in cash. For the three and six months ended June 30, 2026, shares of the Company’s common stock that would be issued upon conversion of the Convertible Notes are included in the weighted-average number of shares of common stock used to calculate diluted net income per share. For the three and six months ended June 30, 2025, shares of common stock that would have been issued if the Convertible Notes had been converted are not included in the calculation of diluted net income per share as the Company’s average share price during these periods was below the initial conversion price and inclusion would be antidilutive.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Convertible Debt Capped Calls, as described in Note 8, are excluded from the calculation of diluted net income per share as they would be antidilutive. However, upon conversion of the Convertible Notes, the Convertible Debt Capped Calls would generally offset any dilution from the Convertible Notes from the conversion price up to a cap initially equal to $237.42 per share. See Note 8 for further information regarding the Convertible Notes and Convertible Debt Capped Calls.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Stock-Based Compensation</w:t>
      </w:r>
    </w:p>
    <w:p>
      <w:pPr>
        <w:pStyle w:val="TextBody"/>
        <w:bidi w:val="0"/>
        <w:spacing w:before="0" w:after="120"/>
        <w:jc w:val="left"/>
        <w:rPr>
          <w:rFonts w:ascii="Times New Roman" w:hAnsi="Times New Roman"/>
          <w:color w:val="000000"/>
          <w:sz w:val="20"/>
          <w:u w:val="single"/>
        </w:rPr>
      </w:pPr>
      <w:r>
        <w:rPr>
          <w:rFonts w:ascii="Times New Roman" w:hAnsi="Times New Roman"/>
          <w:color w:val="000000"/>
          <w:sz w:val="20"/>
          <w:u w:val="single"/>
        </w:rPr>
        <w:t>Equity Incentive Plans</w:t>
      </w:r>
    </w:p>
    <w:p>
      <w:pPr>
        <w:pStyle w:val="TextBody"/>
        <w:bidi w:val="0"/>
        <w:jc w:val="left"/>
        <w:rPr>
          <w:rFonts w:ascii="Times New Roman" w:hAnsi="Times New Roman"/>
          <w:color w:val="000000"/>
          <w:sz w:val="20"/>
        </w:rPr>
      </w:pPr>
      <w:r>
        <w:rPr>
          <w:rFonts w:ascii="Times New Roman" w:hAnsi="Times New Roman"/>
          <w:color w:val="000000"/>
          <w:sz w:val="20"/>
        </w:rPr>
        <w:t xml:space="preserve">Stock-based awards include (i) time-based RSUs, (ii) performance-based RSUs based on the achievement of adjusted EBITDA targets over a one-year performance period, (iii) performance-based RSUs based on the Company’s total stockholder return relative to a group of peers over a three-year performance period and (iv) employee stock purchase plan rights. The Company grants RSUs to employees and directors under the 2022 Stock Incentive Plan, as amended and restated,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MKS INC.</w:t>
      </w:r>
    </w:p>
    <w:p>
      <w:pPr>
        <w:pStyle w:val="TextBody"/>
        <w:bidi w:val="0"/>
        <w:jc w:val="center"/>
        <w:rPr>
          <w:rFonts w:ascii="Times New Roman" w:hAnsi="Times New Roman"/>
          <w:color w:val="000000"/>
          <w:sz w:val="20"/>
        </w:rPr>
      </w:pPr>
      <w:r>
        <w:rPr>
          <w:rFonts w:ascii="Times New Roman" w:hAnsi="Times New Roman"/>
          <w:color w:val="000000"/>
          <w:sz w:val="20"/>
        </w:rPr>
        <w:t>NOTES TO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(in millions, except per share data)</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issues shares of common stock under the 2014 Employee Stock Purchase Plan pursuant to its employee stock 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present the activity for the RSUs:</w:t>
      </w:r>
    </w:p>
    <w:tbl>
      <w:tblPr>
        <w:tblW w:w="4755" w:type="dxa"/>
        <w:jc w:val="left"/>
        <w:tblInd w:w="0" w:type="dxa"/>
        <w:tblLayout w:type="fixed"/>
        <w:tblCellMar>
          <w:top w:w="28" w:type="dxa"/>
          <w:left w:w="28" w:type="dxa"/>
          <w:bottom w:w="28" w:type="dxa"/>
          <w:right w:w="28" w:type="dxa"/>
        </w:tblCellMar>
      </w:tblPr>
      <w:tblGrid>
        <w:gridCol w:w="1771"/>
        <w:gridCol w:w="146"/>
        <w:gridCol w:w="200"/>
        <w:gridCol w:w="579"/>
        <w:gridCol w:w="228"/>
        <w:gridCol w:w="200"/>
        <w:gridCol w:w="342"/>
        <w:gridCol w:w="1098"/>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Quantity</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Weighted Average </w:t>
              <w:br/>
              <w:t>Grant Date</w:t>
              <w:br/>
              <w:t>Fair Value</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or 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4755" w:type="dxa"/>
        <w:jc w:val="left"/>
        <w:tblInd w:w="0" w:type="dxa"/>
        <w:tblLayout w:type="fixed"/>
        <w:tblCellMar>
          <w:top w:w="28" w:type="dxa"/>
          <w:left w:w="28" w:type="dxa"/>
          <w:bottom w:w="28" w:type="dxa"/>
          <w:right w:w="28" w:type="dxa"/>
        </w:tblCellMar>
      </w:tblPr>
      <w:tblGrid>
        <w:gridCol w:w="1771"/>
        <w:gridCol w:w="146"/>
        <w:gridCol w:w="200"/>
        <w:gridCol w:w="579"/>
        <w:gridCol w:w="228"/>
        <w:gridCol w:w="200"/>
        <w:gridCol w:w="342"/>
        <w:gridCol w:w="1098"/>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 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Quantity</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Weighted Average </w:t>
              <w:br/>
              <w:t>Grant Date</w:t>
              <w:br/>
              <w:t>Fair Value</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or 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Times New Roman" w:hAnsi="Times New Roman"/>
          <w:color w:val="000000"/>
          <w:sz w:val="20"/>
          <w:u w:val="single"/>
        </w:rPr>
      </w:pPr>
      <w:r>
        <w:rPr>
          <w:rFonts w:ascii="Times New Roman" w:hAnsi="Times New Roman"/>
          <w:color w:val="000000"/>
          <w:sz w:val="20"/>
          <w:u w:val="single"/>
        </w:rPr>
        <w:t>Stock-Based Compensation Expense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pre-tax effect of stock-based compensation expense included in the Company’s condensed consolidated statements of operations and comprehensive income (loss) was as follows:</w:t>
      </w:r>
    </w:p>
    <w:tbl>
      <w:tblPr>
        <w:tblW w:w="9319" w:type="dxa"/>
        <w:jc w:val="left"/>
        <w:tblInd w:w="0" w:type="dxa"/>
        <w:tblLayout w:type="fixed"/>
        <w:tblCellMar>
          <w:top w:w="28" w:type="dxa"/>
          <w:left w:w="28" w:type="dxa"/>
          <w:bottom w:w="28" w:type="dxa"/>
          <w:right w:w="28" w:type="dxa"/>
        </w:tblCellMar>
      </w:tblPr>
      <w:tblGrid>
        <w:gridCol w:w="4266"/>
        <w:gridCol w:w="146"/>
        <w:gridCol w:w="345"/>
        <w:gridCol w:w="517"/>
        <w:gridCol w:w="239"/>
        <w:gridCol w:w="239"/>
        <w:gridCol w:w="345"/>
        <w:gridCol w:w="517"/>
        <w:gridCol w:w="146"/>
        <w:gridCol w:w="146"/>
        <w:gridCol w:w="317"/>
        <w:gridCol w:w="475"/>
        <w:gridCol w:w="219"/>
        <w:gridCol w:w="219"/>
        <w:gridCol w:w="317"/>
        <w:gridCol w:w="475"/>
        <w:gridCol w:w="391"/>
      </w:tblGrid>
      <w:tr>
        <w:trPr/>
        <w:tc>
          <w:tcPr>
            <w:tcW w:w="4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pre-tax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Stockholders’ Equity</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Share Repurchase Program</w:t>
      </w:r>
    </w:p>
    <w:p>
      <w:pPr>
        <w:pStyle w:val="TextBody"/>
        <w:bidi w:val="0"/>
        <w:jc w:val="left"/>
        <w:rPr>
          <w:rFonts w:ascii="Times New Roman" w:hAnsi="Times New Roman"/>
          <w:color w:val="000000"/>
          <w:sz w:val="20"/>
        </w:rPr>
      </w:pPr>
      <w:r>
        <w:rPr>
          <w:rFonts w:ascii="Times New Roman" w:hAnsi="Times New Roman"/>
          <w:color w:val="000000"/>
          <w:sz w:val="20"/>
        </w:rPr>
        <w:t>On July 25, 2011, the Company’s Board of Directors approved a share repurchase program for the repurchase of up to an aggregate of $200 of its outstanding common stock from time to time in open market purchases, privately negotiated transactions or through other appropriate means. The timing and quantity of any shares repurchased will depend upon a variety of factors, including business conditions, stock market conditions and business development activities, including, but not limited to, merger and acquisition opportunities. These repurchases may be commenced, suspended or discontinued at any time without prior notice. Any repurchased shares are held by the Company as authorized but unissued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2026, there were no repurchases of common stock. During the six months ended June 30, 2025, the Company repurchased approximately 0.5 shares of its common stock for total consideration of $45. The Company has repurchased approximately 3.1 shares of common stock for approximately $172 pursuant to the program since its adoption. </w:t>
      </w:r>
    </w:p>
    <w:p>
      <w:pPr>
        <w:pStyle w:val="TextBody"/>
        <w:bidi w:val="0"/>
        <w:spacing w:before="240" w:after="240"/>
        <w:jc w:val="left"/>
        <w:rPr>
          <w:rFonts w:ascii="Times New Roman" w:hAnsi="Times New Roman"/>
          <w:color w:val="000000"/>
          <w:sz w:val="20"/>
          <w:u w:val="single"/>
        </w:rPr>
      </w:pPr>
      <w:r>
        <w:rPr>
          <w:rFonts w:ascii="Times New Roman" w:hAnsi="Times New Roman"/>
          <w:color w:val="000000"/>
          <w:sz w:val="20"/>
          <w:u w:val="single"/>
        </w:rPr>
        <w:t>Cash Dividends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Holders of the Company’s common stock are entitled to receive dividends when and if they are declared by the Company’s Board of Directors. During the first and second quarters of 2026, the Company’s Board of Directors declared a cash dividend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MKS INC.</w:t>
      </w:r>
    </w:p>
    <w:p>
      <w:pPr>
        <w:pStyle w:val="TextBody"/>
        <w:bidi w:val="0"/>
        <w:jc w:val="center"/>
        <w:rPr>
          <w:rFonts w:ascii="Times New Roman" w:hAnsi="Times New Roman"/>
          <w:color w:val="000000"/>
          <w:sz w:val="20"/>
        </w:rPr>
      </w:pPr>
      <w:r>
        <w:rPr>
          <w:rFonts w:ascii="Times New Roman" w:hAnsi="Times New Roman"/>
          <w:color w:val="000000"/>
          <w:sz w:val="20"/>
        </w:rPr>
        <w:t>NOTES TO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(in millions, except per share data)</w:t>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of $0.25 per share, totaling in aggregate $34 during the six months ended June 30, 2026. During the first and second quarters of 2025, the Company’s Board of Directors declared a cash dividend of $0.22 per share, totaling in aggregate $30 during the six months ended June 30, 2025.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August 3, 2026, the Company’s Board of Directors declared a quarterly cash dividend of $0.25 per share to be paid on September 3, 2026 to stockholders of record as of August 25, 2026.</w:t>
      </w:r>
    </w:p>
    <w:p>
      <w:pPr>
        <w:pStyle w:val="TextBody"/>
        <w:bidi w:val="0"/>
        <w:jc w:val="left"/>
        <w:rPr>
          <w:rFonts w:ascii="Times New Roman" w:hAnsi="Times New Roman"/>
          <w:color w:val="000000"/>
          <w:sz w:val="20"/>
        </w:rPr>
      </w:pPr>
      <w:r>
        <w:rPr>
          <w:rFonts w:ascii="Times New Roman" w:hAnsi="Times New Roman"/>
          <w:color w:val="000000"/>
          <w:sz w:val="20"/>
        </w:rPr>
        <w:t xml:space="preserve">Future dividend declarations, if any, as well as the record and payment dates for such dividends, are subject to the final determination of the Company’s Board of Directors. </w:t>
      </w:r>
    </w:p>
    <w:p>
      <w:pPr>
        <w:pStyle w:val="TextBody"/>
        <w:bidi w:val="0"/>
        <w:spacing w:before="240" w:after="240"/>
        <w:jc w:val="left"/>
        <w:rPr>
          <w:rFonts w:ascii="Times New Roman" w:hAnsi="Times New Roman"/>
          <w:color w:val="000000"/>
          <w:sz w:val="20"/>
          <w:u w:val="single"/>
        </w:rPr>
      </w:pPr>
      <w:r>
        <w:rPr>
          <w:rFonts w:ascii="Times New Roman" w:hAnsi="Times New Roman"/>
          <w:color w:val="000000"/>
          <w:sz w:val="20"/>
          <w:u w:val="single"/>
        </w:rPr>
        <w:t>Accumulated Other Comprehensive (Loss) Income</w:t>
      </w:r>
    </w:p>
    <w:p>
      <w:pPr>
        <w:pStyle w:val="TextBody"/>
        <w:bidi w:val="0"/>
        <w:jc w:val="left"/>
        <w:rPr>
          <w:rFonts w:ascii="Times New Roman" w:hAnsi="Times New Roman"/>
          <w:color w:val="000000"/>
          <w:sz w:val="20"/>
        </w:rPr>
      </w:pPr>
      <w:r>
        <w:rPr>
          <w:rFonts w:ascii="Times New Roman" w:hAnsi="Times New Roman"/>
          <w:color w:val="000000"/>
          <w:sz w:val="20"/>
        </w:rPr>
        <w:t>The changes in accumulated other comprehensive (loss) income (“AOCI”) by component as of June 30, 2026 and June 30, 2025, net of aggregate tax (benefit) expense of $(6) and $10 for each period, respectively, were as follows: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066"/>
        <w:gridCol w:w="146"/>
        <w:gridCol w:w="823"/>
        <w:gridCol w:w="1079"/>
        <w:gridCol w:w="166"/>
        <w:gridCol w:w="146"/>
        <w:gridCol w:w="501"/>
        <w:gridCol w:w="886"/>
        <w:gridCol w:w="166"/>
        <w:gridCol w:w="146"/>
        <w:gridCol w:w="433"/>
        <w:gridCol w:w="767"/>
        <w:gridCol w:w="166"/>
        <w:gridCol w:w="146"/>
        <w:gridCol w:w="504"/>
        <w:gridCol w:w="893"/>
        <w:gridCol w:w="166"/>
        <w:gridCol w:w="146"/>
        <w:gridCol w:w="196"/>
        <w:gridCol w:w="346"/>
        <w:gridCol w:w="317"/>
      </w:tblGrid>
      <w:tr>
        <w:trPr/>
        <w:tc>
          <w:tcPr>
            <w:tcW w:w="2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Changes in value of financial instruments designated as cash flow hedges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Foreign currency translation 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Change in net investment hedge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Unrecognized pension 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3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comprehensive income (loss)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Amounts reclassified out of AOCI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comprehensive income (loss)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Amounts reclassified out of AOCI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48"/>
        <w:gridCol w:w="146"/>
        <w:gridCol w:w="677"/>
        <w:gridCol w:w="1201"/>
        <w:gridCol w:w="166"/>
        <w:gridCol w:w="146"/>
        <w:gridCol w:w="427"/>
        <w:gridCol w:w="950"/>
        <w:gridCol w:w="166"/>
        <w:gridCol w:w="146"/>
        <w:gridCol w:w="430"/>
        <w:gridCol w:w="762"/>
        <w:gridCol w:w="166"/>
        <w:gridCol w:w="146"/>
        <w:gridCol w:w="501"/>
        <w:gridCol w:w="888"/>
        <w:gridCol w:w="146"/>
        <w:gridCol w:w="146"/>
        <w:gridCol w:w="196"/>
        <w:gridCol w:w="436"/>
        <w:gridCol w:w="315"/>
      </w:tblGrid>
      <w:tr>
        <w:trPr/>
        <w:tc>
          <w:tcPr>
            <w:tcW w:w="20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0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Changes in value of financial instruments designated as cash flow hedges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Foreign currency translation 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Change in net investment hedge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Unrecognized pension gain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20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comprehensive income (loss)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4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Amounts reclassified out of AOCI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20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comprehensive income (loss)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4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Amounts reclassified out of AOCI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(15)</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Business Segment, Geographic Area and Product Information</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Reportable Segments and Products</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Chief Operating Decision Maker (the “CODM”), which is the Company’s Chief Executive Officer, utilizes financial information to make decisions about allocating resources and assessing performance for the entire Company, which is used in the decision-making process to assess performance. The Company has a diverse base of customers across its three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MKS INC.</w:t>
      </w:r>
    </w:p>
    <w:p>
      <w:pPr>
        <w:pStyle w:val="TextBody"/>
        <w:bidi w:val="0"/>
        <w:jc w:val="center"/>
        <w:rPr>
          <w:rFonts w:ascii="Times New Roman" w:hAnsi="Times New Roman"/>
          <w:color w:val="000000"/>
          <w:sz w:val="20"/>
        </w:rPr>
      </w:pPr>
      <w:r>
        <w:rPr>
          <w:rFonts w:ascii="Times New Roman" w:hAnsi="Times New Roman"/>
          <w:color w:val="000000"/>
          <w:sz w:val="20"/>
        </w:rPr>
        <w:t>NOTES TO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(in millions, except per share data)</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end markets, semiconductor, electronics and packaging, and specialty industrial. Segment gross margin is the primary measure used by the CODM to assess segment performance and allocate resources. Gross margin, among other measures, is utilized when making decisions about capital and personnel allocations across segments.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three reportable segments, VSD, PSD and MSD as described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VSD delivers foundational technology solutions for semiconductor manufacturing, electronics and packaging, and specialty industrial applications. VSD products are derived from the Company’s core competencies in vacuum technologies, including pressure measurement and control, flow measurement and control, gas and vapor delivery, gas composition analysis, electronic control technology, reactive gas generation and delivery, power generation and delivery, and fiber optic temperature and position sensing.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PSD provides a broad range of instruments, components and subsystems to leading edge semiconductor manufacturing, electronics and packaging and specialty industrial applications. PSD products are derived from the Company’s core competencies in lasers, photonics, optics, precision motion control and vibration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MSD develops leading process and manufacturing technologies for advanced surface modification, electroless and electrolytic plating, and surface finishing. Applying a comprehensive systems-and-solutions approach, MSD’s portfolio includes chemistry, equipment and services for innovative and high-technology applications in the electronics and packaging and specialty industrial markets.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derives its segment results directly from the manner in which results are reported in its management reporting system. The Company groups its product offerings by its reportable segments, VSD, PSD, and MSD. For each reportable segment, the Company also provides services relating to the maintenance and repair of its products, sales of spare parts, installation and training. Unallocated corporate expenses represent those costs not specifically related to the operations of each segment and are managed separately at the corporate level and primarily relate to labor costs of global functions, such as operations and real estate.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tables set forth the details of gross profit by reportable segment and the reconciliation to income before income taxes: </w:t>
      </w:r>
    </w:p>
    <w:tbl>
      <w:tblPr>
        <w:tblW w:w="10205" w:type="dxa"/>
        <w:jc w:val="left"/>
        <w:tblInd w:w="0" w:type="dxa"/>
        <w:tblLayout w:type="fixed"/>
        <w:tblCellMar>
          <w:top w:w="28" w:type="dxa"/>
          <w:left w:w="28" w:type="dxa"/>
          <w:bottom w:w="28" w:type="dxa"/>
          <w:right w:w="28" w:type="dxa"/>
        </w:tblCellMar>
      </w:tblPr>
      <w:tblGrid>
        <w:gridCol w:w="5584"/>
        <w:gridCol w:w="146"/>
        <w:gridCol w:w="211"/>
        <w:gridCol w:w="466"/>
        <w:gridCol w:w="271"/>
        <w:gridCol w:w="146"/>
        <w:gridCol w:w="211"/>
        <w:gridCol w:w="466"/>
        <w:gridCol w:w="271"/>
        <w:gridCol w:w="146"/>
        <w:gridCol w:w="211"/>
        <w:gridCol w:w="466"/>
        <w:gridCol w:w="271"/>
        <w:gridCol w:w="146"/>
        <w:gridCol w:w="211"/>
        <w:gridCol w:w="571"/>
        <w:gridCol w:w="411"/>
      </w:tblGrid>
      <w:tr>
        <w:trPr/>
        <w:tc>
          <w:tcPr>
            <w:tcW w:w="55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 June 30, 2026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VSD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PSD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MSD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 by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 cost of revenues (exclusive of amortization shown separately below)</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gross profit percentage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to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Unallocated corporate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MKS INC.</w:t>
      </w:r>
    </w:p>
    <w:p>
      <w:pPr>
        <w:pStyle w:val="TextBody"/>
        <w:bidi w:val="0"/>
        <w:jc w:val="center"/>
        <w:rPr>
          <w:rFonts w:ascii="Times New Roman" w:hAnsi="Times New Roman"/>
          <w:color w:val="000000"/>
          <w:sz w:val="20"/>
        </w:rPr>
      </w:pPr>
      <w:r>
        <w:rPr>
          <w:rFonts w:ascii="Times New Roman" w:hAnsi="Times New Roman"/>
          <w:color w:val="000000"/>
          <w:sz w:val="20"/>
        </w:rPr>
        <w:t>NOTES TO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(in millions, except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689"/>
        <w:gridCol w:w="146"/>
        <w:gridCol w:w="211"/>
        <w:gridCol w:w="466"/>
        <w:gridCol w:w="271"/>
        <w:gridCol w:w="146"/>
        <w:gridCol w:w="211"/>
        <w:gridCol w:w="466"/>
        <w:gridCol w:w="271"/>
        <w:gridCol w:w="146"/>
        <w:gridCol w:w="211"/>
        <w:gridCol w:w="466"/>
        <w:gridCol w:w="271"/>
        <w:gridCol w:w="146"/>
        <w:gridCol w:w="211"/>
        <w:gridCol w:w="466"/>
        <w:gridCol w:w="411"/>
      </w:tblGrid>
      <w:tr>
        <w:trPr/>
        <w:tc>
          <w:tcPr>
            <w:tcW w:w="56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6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 June 30,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VSD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PSD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MSD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 by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 cost of revenues (exclusive of amortization shown separately below)</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gross profit percentage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to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Unallocated corporate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pPr>
      <w:r>
        <w:rPr/>
        <w:t> </w:t>
      </w:r>
    </w:p>
    <w:tbl>
      <w:tblPr>
        <w:tblW w:w="10205" w:type="dxa"/>
        <w:jc w:val="left"/>
        <w:tblInd w:w="0" w:type="dxa"/>
        <w:tblLayout w:type="fixed"/>
        <w:tblCellMar>
          <w:top w:w="28" w:type="dxa"/>
          <w:left w:w="28" w:type="dxa"/>
          <w:bottom w:w="28" w:type="dxa"/>
          <w:right w:w="28" w:type="dxa"/>
        </w:tblCellMar>
      </w:tblPr>
      <w:tblGrid>
        <w:gridCol w:w="5584"/>
        <w:gridCol w:w="146"/>
        <w:gridCol w:w="211"/>
        <w:gridCol w:w="466"/>
        <w:gridCol w:w="271"/>
        <w:gridCol w:w="146"/>
        <w:gridCol w:w="211"/>
        <w:gridCol w:w="466"/>
        <w:gridCol w:w="271"/>
        <w:gridCol w:w="146"/>
        <w:gridCol w:w="211"/>
        <w:gridCol w:w="466"/>
        <w:gridCol w:w="271"/>
        <w:gridCol w:w="146"/>
        <w:gridCol w:w="211"/>
        <w:gridCol w:w="571"/>
        <w:gridCol w:w="411"/>
      </w:tblGrid>
      <w:tr>
        <w:trPr/>
        <w:tc>
          <w:tcPr>
            <w:tcW w:w="55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 June 30, 2026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VSD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PSD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MSD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 by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 cost of revenues (exclusive of amortization shown separately below)</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gross profit percentage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to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Legal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Fees and expenses related to debt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Unallocated corporate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MKS INC.</w:t>
      </w:r>
    </w:p>
    <w:p>
      <w:pPr>
        <w:pStyle w:val="TextBody"/>
        <w:bidi w:val="0"/>
        <w:jc w:val="center"/>
        <w:rPr>
          <w:rFonts w:ascii="Times New Roman" w:hAnsi="Times New Roman"/>
          <w:color w:val="000000"/>
          <w:sz w:val="20"/>
        </w:rPr>
      </w:pPr>
      <w:r>
        <w:rPr>
          <w:rFonts w:ascii="Times New Roman" w:hAnsi="Times New Roman"/>
          <w:color w:val="000000"/>
          <w:sz w:val="20"/>
        </w:rPr>
        <w:t>NOTES TO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(in millions, except per share data)</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584"/>
        <w:gridCol w:w="146"/>
        <w:gridCol w:w="211"/>
        <w:gridCol w:w="466"/>
        <w:gridCol w:w="271"/>
        <w:gridCol w:w="146"/>
        <w:gridCol w:w="211"/>
        <w:gridCol w:w="466"/>
        <w:gridCol w:w="271"/>
        <w:gridCol w:w="146"/>
        <w:gridCol w:w="211"/>
        <w:gridCol w:w="466"/>
        <w:gridCol w:w="271"/>
        <w:gridCol w:w="146"/>
        <w:gridCol w:w="211"/>
        <w:gridCol w:w="571"/>
        <w:gridCol w:w="411"/>
      </w:tblGrid>
      <w:tr>
        <w:trPr/>
        <w:tc>
          <w:tcPr>
            <w:tcW w:w="55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 June 30,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VSD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PSD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MSD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 by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 cost of revenues (exclusive of amortization shown separately below)</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gross profit percentage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to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Fees and expenses related to debt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Unallocated corporate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significant expense category and amount align with the segment-level information that is regularly provided to the CODM.</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capital expenditures by reportable segment:</w:t>
      </w:r>
    </w:p>
    <w:tbl>
      <w:tblPr>
        <w:tblW w:w="7104" w:type="dxa"/>
        <w:jc w:val="left"/>
        <w:tblInd w:w="0" w:type="dxa"/>
        <w:tblLayout w:type="fixed"/>
        <w:tblCellMar>
          <w:top w:w="28" w:type="dxa"/>
          <w:left w:w="28" w:type="dxa"/>
          <w:bottom w:w="28" w:type="dxa"/>
          <w:right w:w="28" w:type="dxa"/>
        </w:tblCellMar>
      </w:tblPr>
      <w:tblGrid>
        <w:gridCol w:w="2251"/>
        <w:gridCol w:w="146"/>
        <w:gridCol w:w="345"/>
        <w:gridCol w:w="517"/>
        <w:gridCol w:w="239"/>
        <w:gridCol w:w="239"/>
        <w:gridCol w:w="345"/>
        <w:gridCol w:w="517"/>
        <w:gridCol w:w="146"/>
        <w:gridCol w:w="146"/>
        <w:gridCol w:w="317"/>
        <w:gridCol w:w="475"/>
        <w:gridCol w:w="219"/>
        <w:gridCol w:w="219"/>
        <w:gridCol w:w="317"/>
        <w:gridCol w:w="475"/>
        <w:gridCol w:w="19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VSD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MSD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depreciation and amortization by reportable segment:</w:t>
      </w:r>
    </w:p>
    <w:tbl>
      <w:tblPr>
        <w:tblW w:w="7901" w:type="dxa"/>
        <w:jc w:val="left"/>
        <w:tblInd w:w="0" w:type="dxa"/>
        <w:tblLayout w:type="fixed"/>
        <w:tblCellMar>
          <w:top w:w="28" w:type="dxa"/>
          <w:left w:w="28" w:type="dxa"/>
          <w:bottom w:w="28" w:type="dxa"/>
          <w:right w:w="28" w:type="dxa"/>
        </w:tblCellMar>
      </w:tblPr>
      <w:tblGrid>
        <w:gridCol w:w="3046"/>
        <w:gridCol w:w="146"/>
        <w:gridCol w:w="345"/>
        <w:gridCol w:w="517"/>
        <w:gridCol w:w="239"/>
        <w:gridCol w:w="239"/>
        <w:gridCol w:w="345"/>
        <w:gridCol w:w="517"/>
        <w:gridCol w:w="146"/>
        <w:gridCol w:w="146"/>
        <w:gridCol w:w="274"/>
        <w:gridCol w:w="548"/>
        <w:gridCol w:w="190"/>
        <w:gridCol w:w="190"/>
        <w:gridCol w:w="274"/>
        <w:gridCol w:w="548"/>
        <w:gridCol w:w="1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VSD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MSD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tables set forth segment assets by reportable segment:</w:t>
      </w:r>
    </w:p>
    <w:tbl>
      <w:tblPr>
        <w:tblW w:w="5530" w:type="dxa"/>
        <w:jc w:val="left"/>
        <w:tblInd w:w="0" w:type="dxa"/>
        <w:tblLayout w:type="fixed"/>
        <w:tblCellMar>
          <w:top w:w="28" w:type="dxa"/>
          <w:left w:w="28" w:type="dxa"/>
          <w:bottom w:w="28" w:type="dxa"/>
          <w:right w:w="28" w:type="dxa"/>
        </w:tblCellMar>
      </w:tblPr>
      <w:tblGrid>
        <w:gridCol w:w="1786"/>
        <w:gridCol w:w="146"/>
        <w:gridCol w:w="384"/>
        <w:gridCol w:w="771"/>
        <w:gridCol w:w="146"/>
        <w:gridCol w:w="146"/>
        <w:gridCol w:w="239"/>
        <w:gridCol w:w="647"/>
        <w:gridCol w:w="146"/>
        <w:gridCol w:w="146"/>
        <w:gridCol w:w="211"/>
        <w:gridCol w:w="571"/>
        <w:gridCol w:w="19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Accounts</w:t>
              <w:br/>
              <w:t> receivable,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Inventories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VSD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MSD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MKS INC.</w:t>
      </w:r>
    </w:p>
    <w:p>
      <w:pPr>
        <w:pStyle w:val="TextBody"/>
        <w:bidi w:val="0"/>
        <w:jc w:val="center"/>
        <w:rPr>
          <w:rFonts w:ascii="Times New Roman" w:hAnsi="Times New Roman"/>
          <w:color w:val="000000"/>
          <w:sz w:val="20"/>
        </w:rPr>
      </w:pPr>
      <w:r>
        <w:rPr>
          <w:rFonts w:ascii="Times New Roman" w:hAnsi="Times New Roman"/>
          <w:color w:val="000000"/>
          <w:sz w:val="20"/>
        </w:rPr>
        <w:t>NOTES TO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(in millions, except per share data)</w:t>
      </w:r>
    </w:p>
    <w:p>
      <w:pPr>
        <w:pStyle w:val="TextBody"/>
        <w:bidi w:val="0"/>
        <w:jc w:val="left"/>
        <w:rPr/>
      </w:pPr>
      <w:r>
        <w:rPr/>
        <w:t> </w:t>
      </w:r>
    </w:p>
    <w:p>
      <w:pPr>
        <w:pStyle w:val="TextBody"/>
        <w:bidi w:val="0"/>
        <w:jc w:val="left"/>
        <w:rPr/>
      </w:pPr>
      <w:r>
        <w:rPr/>
        <w:t> </w:t>
      </w:r>
    </w:p>
    <w:tbl>
      <w:tblPr>
        <w:tblW w:w="5530" w:type="dxa"/>
        <w:jc w:val="left"/>
        <w:tblInd w:w="0" w:type="dxa"/>
        <w:tblLayout w:type="fixed"/>
        <w:tblCellMar>
          <w:top w:w="28" w:type="dxa"/>
          <w:left w:w="28" w:type="dxa"/>
          <w:bottom w:w="28" w:type="dxa"/>
          <w:right w:w="28" w:type="dxa"/>
        </w:tblCellMar>
      </w:tblPr>
      <w:tblGrid>
        <w:gridCol w:w="1786"/>
        <w:gridCol w:w="146"/>
        <w:gridCol w:w="384"/>
        <w:gridCol w:w="771"/>
        <w:gridCol w:w="146"/>
        <w:gridCol w:w="146"/>
        <w:gridCol w:w="295"/>
        <w:gridCol w:w="591"/>
        <w:gridCol w:w="146"/>
        <w:gridCol w:w="146"/>
        <w:gridCol w:w="211"/>
        <w:gridCol w:w="571"/>
        <w:gridCol w:w="19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Accounts</w:t>
              <w:br/>
              <w:t> receivable,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Inventories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VSD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MSD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reconciles total segment assets to total assets:</w:t>
      </w:r>
    </w:p>
    <w:tbl>
      <w:tblPr>
        <w:tblW w:w="6180" w:type="dxa"/>
        <w:jc w:val="left"/>
        <w:tblInd w:w="0" w:type="dxa"/>
        <w:tblLayout w:type="fixed"/>
        <w:tblCellMar>
          <w:top w:w="28" w:type="dxa"/>
          <w:left w:w="28" w:type="dxa"/>
          <w:bottom w:w="28" w:type="dxa"/>
          <w:right w:w="28" w:type="dxa"/>
        </w:tblCellMar>
      </w:tblPr>
      <w:tblGrid>
        <w:gridCol w:w="2971"/>
        <w:gridCol w:w="146"/>
        <w:gridCol w:w="295"/>
        <w:gridCol w:w="800"/>
        <w:gridCol w:w="146"/>
        <w:gridCol w:w="146"/>
        <w:gridCol w:w="399"/>
        <w:gridCol w:w="1086"/>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and 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u w:val="single"/>
        </w:rPr>
      </w:pPr>
      <w:r>
        <w:rPr>
          <w:rFonts w:ascii="Times New Roman" w:hAnsi="Times New Roman"/>
          <w:color w:val="000000"/>
          <w:sz w:val="20"/>
          <w:u w:val="single"/>
        </w:rPr>
        <w:t>Geographic Area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Information about the Company’s operations by geographic area is presented in the table below. Net revenues from unaffiliated customers are based on the shipped-to location of the end customer. Intercompany sales between geographic areas are recorded at tax transfer prices and have been eliminated from consolidated revenues.</w:t>
      </w:r>
    </w:p>
    <w:tbl>
      <w:tblPr>
        <w:tblW w:w="6456" w:type="dxa"/>
        <w:jc w:val="left"/>
        <w:tblInd w:w="0" w:type="dxa"/>
        <w:tblLayout w:type="fixed"/>
        <w:tblCellMar>
          <w:top w:w="28" w:type="dxa"/>
          <w:left w:w="28" w:type="dxa"/>
          <w:bottom w:w="28" w:type="dxa"/>
          <w:right w:w="28" w:type="dxa"/>
        </w:tblCellMar>
      </w:tblPr>
      <w:tblGrid>
        <w:gridCol w:w="1401"/>
        <w:gridCol w:w="146"/>
        <w:gridCol w:w="272"/>
        <w:gridCol w:w="738"/>
        <w:gridCol w:w="188"/>
        <w:gridCol w:w="188"/>
        <w:gridCol w:w="272"/>
        <w:gridCol w:w="544"/>
        <w:gridCol w:w="146"/>
        <w:gridCol w:w="146"/>
        <w:gridCol w:w="230"/>
        <w:gridCol w:w="623"/>
        <w:gridCol w:w="159"/>
        <w:gridCol w:w="159"/>
        <w:gridCol w:w="230"/>
        <w:gridCol w:w="623"/>
        <w:gridCol w:w="391"/>
      </w:tblGrid>
      <w:tr>
        <w:trPr/>
        <w:tc>
          <w:tcPr>
            <w:tcW w:w="1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South Korea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Malaysia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Taiwan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Singapore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Japan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(16)</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Restructuring</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recorded $4 and $7 of restructuring charges in restructuring and other during the three and six months ended June 30, 2026, respectively, primarily related to severance costs incurred as a result of a reorganization of certain business units within PSD, which was implemented in the first quarter of 2026, and the planned closing of a PSD facility in Europe, which was initiated during the first quarter of 2026. The facility closing is expected to be completed in early 2027. The Company recorded $3 and $19 of restructuring charges in restructuring and other during the three and six months ended June 30, 2025, respectively, primarily related to severance costs incurred as a result of a cost saving initiative implemented during the first quarter of 2025, mainly in the general metal finishing business within MSD.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activity related to the Company’s restructuring accrual is shown below:</w:t>
      </w:r>
    </w:p>
    <w:tbl>
      <w:tblPr>
        <w:tblW w:w="5025" w:type="dxa"/>
        <w:jc w:val="left"/>
        <w:tblInd w:w="0" w:type="dxa"/>
        <w:tblLayout w:type="fixed"/>
        <w:tblCellMar>
          <w:top w:w="28" w:type="dxa"/>
          <w:left w:w="28" w:type="dxa"/>
          <w:bottom w:w="28" w:type="dxa"/>
          <w:right w:w="28" w:type="dxa"/>
        </w:tblCellMar>
      </w:tblPr>
      <w:tblGrid>
        <w:gridCol w:w="2466"/>
        <w:gridCol w:w="146"/>
        <w:gridCol w:w="299"/>
        <w:gridCol w:w="534"/>
        <w:gridCol w:w="235"/>
        <w:gridCol w:w="207"/>
        <w:gridCol w:w="299"/>
        <w:gridCol w:w="448"/>
        <w:gridCol w:w="391"/>
      </w:tblGrid>
      <w:tr>
        <w:trPr/>
        <w:tc>
          <w:tcPr>
            <w:tcW w:w="2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Charged to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and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MKS INC.</w:t>
      </w:r>
    </w:p>
    <w:p>
      <w:pPr>
        <w:pStyle w:val="TextBody"/>
        <w:bidi w:val="0"/>
        <w:jc w:val="center"/>
        <w:rPr>
          <w:rFonts w:ascii="Times New Roman" w:hAnsi="Times New Roman"/>
          <w:color w:val="000000"/>
          <w:sz w:val="20"/>
        </w:rPr>
      </w:pPr>
      <w:r>
        <w:rPr>
          <w:rFonts w:ascii="Times New Roman" w:hAnsi="Times New Roman"/>
          <w:color w:val="000000"/>
          <w:sz w:val="20"/>
        </w:rPr>
        <w:t>NOTES TO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(in millions, except per share data)</w:t>
      </w:r>
    </w:p>
    <w:p>
      <w:pPr>
        <w:pStyle w:val="TextBody"/>
        <w:bidi w:val="0"/>
        <w:jc w:val="left"/>
        <w:rPr/>
      </w:pPr>
      <w:r>
        <w:rPr/>
        <w:t> </w:t>
      </w:r>
    </w:p>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(17)</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Legal Proceedings</w:t>
      </w:r>
    </w:p>
    <w:p>
      <w:pPr>
        <w:pStyle w:val="TextBody"/>
        <w:bidi w:val="0"/>
        <w:jc w:val="left"/>
        <w:rPr>
          <w:rFonts w:ascii="Times New Roman" w:hAnsi="Times New Roman"/>
          <w:color w:val="000000"/>
          <w:sz w:val="20"/>
        </w:rPr>
      </w:pPr>
      <w:r>
        <w:rPr>
          <w:rFonts w:ascii="Times New Roman" w:hAnsi="Times New Roman"/>
          <w:color w:val="000000"/>
          <w:sz w:val="20"/>
        </w:rPr>
        <w:t>The Company is subject to various legal proceedings and claims that have arisen in the ordinary course of business. In the opinion of management, the ultimate disposition of these matters will not have a material adverse effect on the Company’s results of operations, financial condition or cash flows.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bookmarkStart w:id="8" w:name="item_2_managements_discussion_analysis_f"/>
      <w:bookmarkEnd w:id="8"/>
      <w:r>
        <w:rPr>
          <w:rFonts w:ascii="Times New Roman" w:hAnsi="Times New Roman"/>
          <w:color w:val="000000"/>
          <w:sz w:val="20"/>
        </w:rPr>
        <w:t>ITEM 2. MANAGEMENT’S DISCUSSION AND ANALYSIS OF FINANCIAL CONDITION AND RESULTS OF OPERATIONS.</w:t>
      </w:r>
    </w:p>
    <w:p>
      <w:pPr>
        <w:pStyle w:val="TextBody"/>
        <w:bidi w:val="0"/>
        <w:jc w:val="left"/>
        <w:rPr>
          <w:rFonts w:ascii="Times New Roman" w:hAnsi="Times New Roman"/>
          <w:color w:val="000000"/>
          <w:sz w:val="20"/>
        </w:rPr>
      </w:pPr>
      <w:r>
        <w:rPr>
          <w:rFonts w:ascii="Times New Roman" w:hAnsi="Times New Roman"/>
          <w:color w:val="000000"/>
          <w:sz w:val="20"/>
        </w:rPr>
        <w:t xml:space="preserve">This Quarterly Report on Form 10-Q contains “forward-looking statements” within the meaning of the Private Securities Litigation Reform Act of 1995, Section 27A of the Securities Act of 1933 and Section 21E of the Securities Exchange Act of 1934 regarding the future financial performance, business prospects and growth of MKS Inc. (“MKS,” the “Company,” “our,” or “we”). These statements are only predictions based on current assumptions and expectations. Any statements that are not statements of historical fact (including statements containing the words “will,” “projects,” “intends,” “believes,” “plans,” “anticipates,” “expects,” “estimates,” “forecasts,” “continues” and similar expressions) should be considered forward-looking statements. Actual events or results may differ materially from those in the forward-looking statements set forth herein.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Among the important factors that could cause actual events to differ materially from those in the forward-looking statements that we make are the level and terms of our substantial indebtedness and our ability to service such debt; risks related to pursuing, completing, and/or failing to realize the benefits of acquisitions and other strategic transactions critical to our growth strategy; risks related to cybersecurity, data privacy and intellectual property; manufacturing and sourcing risks, including supply chain disruptions, component shortages and price increases, the use of limited, sole source and international suppliers, the relocation of manufacturing operations, and product defects; risks associated with doing business internationally, including geopolitical conflicts, trade compliance, trade protection measures, such as import tariffs by the United States and/or retaliatory actions taken by other countries, regulatory restrictions on our products, components or markets, particularly the semiconductor market, and unfavorable currency exchange and tax rate fluctuations; conditions affecting the markets in which we operate, including intense competition, rapid technological and market changes, dependence on new product development, the ability to anticipate and meet customer demand, fluctuations in capital spending in the semiconductor, electronics manufacturing and automotive industries, and fluctuations in sales to our major customers; disruptions or delays from third-party service providers upon which our operations may rely; risks associated with the attraction and retention of key personnel; potential fluctuations in quarterly results; volatility of stock price; risks associated with chemical manufacturing and environmental regulation compliance; risks associated with artificial intelligence (“AI”); financial and legal risk management; and the other important factors described under the heading “Risk Factors” in Part I, Item 1A of our Annual Report on Form 10-K for the year ended December 31, 2025 filed with the U.S. Securities and Exchange Commission on February 24, 2026 (“Annual Report”) and any subsequent Quarterly Reports on Form 10-Q. We are under no obligation to, and expressly disclaim any obligation to, update or alter these forward-looking statements, whether as a result of new information, future events or otherwise, even if subsequent events cause our views to change.</w:t>
      </w:r>
    </w:p>
    <w:p>
      <w:pPr>
        <w:pStyle w:val="TextBody"/>
        <w:bidi w:val="0"/>
        <w:jc w:val="left"/>
        <w:rPr>
          <w:rFonts w:ascii="Times New Roman" w:hAnsi="Times New Roman"/>
          <w:color w:val="000000"/>
          <w:sz w:val="20"/>
        </w:rPr>
      </w:pPr>
      <w:r>
        <w:rPr>
          <w:rFonts w:ascii="Times New Roman" w:hAnsi="Times New Roman"/>
          <w:color w:val="000000"/>
          <w:sz w:val="20"/>
        </w:rPr>
        <w:t>The Management’s Discussion and Analysis of Financial Condition and Results of Operations describes principal factors affecting the results of operations, financial condition, cash flows and liquidity, as well as our critical accounting policies and estimates that require significant judgment and thus have the most significant potential impact on our condensed consolidated financial statements, and is intended to better allow investors to view the Company from management’s perspective. This section focuses on material events and uncertainties known to management that are reasonably likely to cause reported financial information not to be necessarily indicative of our future operating results or of our future financial condition. This section provides an analysis of our financial results for the three months ended June 30, 2026 compared to the three months ended March 31, 2026, and the six months ended June 30, 2026 compared to the six months ended June 30, 2025. As a result of rounding, there may be immaterial differences in amounts presented and certain calculations may not sum to the total number expressed in each category or tie to a corresponding schedule.</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Overview</w:t>
      </w:r>
    </w:p>
    <w:p>
      <w:pPr>
        <w:pStyle w:val="TextBody"/>
        <w:bidi w:val="0"/>
        <w:jc w:val="left"/>
        <w:rPr>
          <w:rFonts w:ascii="Times New Roman" w:hAnsi="Times New Roman"/>
          <w:color w:val="000000"/>
          <w:sz w:val="20"/>
        </w:rPr>
      </w:pPr>
      <w:r>
        <w:rPr>
          <w:rFonts w:ascii="Times New Roman" w:hAnsi="Times New Roman"/>
          <w:color w:val="000000"/>
          <w:sz w:val="20"/>
        </w:rPr>
        <w:t xml:space="preserve">MKS was founded in 1961 as a Massachusetts corporation. We enable technologies that transform our world. We deliver foundational technology solutions to leading edge semiconductor manufacturing, electronics and packaging, and specialty industrial applications. We apply our broad science and engineering capabilities to create instruments, subsystems, systems, process control solutions and specialty chemicals technology that improve process performance, optimize productivity and enable unique innovations for many of the world’s leading technology and industrial companies. Our solutions are critical to addressing the challenges of miniaturization and complexity in advanced device manufacturing by enabling increased power, speed, feature enhancement and optimized connectivity. Our solutions are also critical to addressing ever-increasing performance requirements across a wide array of specialty industrial applications. </w:t>
      </w:r>
    </w:p>
    <w:p>
      <w:pPr>
        <w:pStyle w:val="TextBody"/>
        <w:bidi w:val="0"/>
        <w:jc w:val="left"/>
        <w:rPr/>
      </w:pPr>
      <w:r>
        <w:rPr/>
        <w:t> </w:t>
      </w:r>
    </w:p>
    <w:p>
      <w:pPr>
        <w:pStyle w:val="TextBody"/>
        <w:bidi w:val="0"/>
        <w:spacing w:before="120" w:after="283"/>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Segments</w:t>
      </w:r>
    </w:p>
    <w:p>
      <w:pPr>
        <w:pStyle w:val="TextBody"/>
        <w:bidi w:val="0"/>
        <w:jc w:val="left"/>
        <w:rPr>
          <w:rFonts w:ascii="Times New Roman" w:hAnsi="Times New Roman"/>
          <w:color w:val="000000"/>
          <w:sz w:val="20"/>
        </w:rPr>
      </w:pPr>
      <w:r>
        <w:rPr>
          <w:rFonts w:ascii="Times New Roman" w:hAnsi="Times New Roman"/>
          <w:color w:val="000000"/>
          <w:sz w:val="20"/>
        </w:rPr>
        <w:t>We have three divisions, which are our reportable segments: Vacuum Solutions Division (“VSD”), Photonics Solutions Division (“PSD”) and Materials Solutions Division (“MSD”).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VSD delivers foundational technology solutions for semiconductor manufacturing, electronics and packaging and specialty industrial applications. VSD products are derived from our core competencies in vacuum technologies, including pressure measurement and control, flow measurement and control, gas and vapor delivery, gas composition analysis, electronic control technology, reactive gas generation and delivery, power generation and delivery, and fiber optic temperature and position sensing.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PSD provides a broad range of instruments, components and subsystems to leading edge semiconductor manufacturing, electronics and packaging and specialty industrial applications. PSD products are derived from our core competencies in lasers, photonics, optics, precision motion control and vibration control.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MSD develops leading process and manufacturing technologies for advanced surface modification, electroless and electrolytic plating, and surface finishing. Applying a comprehensive systems-and-solutions approach, MSD’s portfolio includes chemistry, equipment and services for innovative and high-technology applications in our electronics and packaging and specialty industrial markets.</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Markets</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Net Revenues by End Market</w:t>
      </w:r>
    </w:p>
    <w:tbl>
      <w:tblPr>
        <w:tblW w:w="10205" w:type="dxa"/>
        <w:jc w:val="left"/>
        <w:tblInd w:w="0" w:type="dxa"/>
        <w:tblLayout w:type="fixed"/>
        <w:tblCellMar>
          <w:top w:w="28" w:type="dxa"/>
          <w:left w:w="28" w:type="dxa"/>
          <w:bottom w:w="28" w:type="dxa"/>
          <w:right w:w="28" w:type="dxa"/>
        </w:tblCellMar>
      </w:tblPr>
      <w:tblGrid>
        <w:gridCol w:w="1528"/>
        <w:gridCol w:w="146"/>
        <w:gridCol w:w="215"/>
        <w:gridCol w:w="561"/>
        <w:gridCol w:w="146"/>
        <w:gridCol w:w="146"/>
        <w:gridCol w:w="180"/>
        <w:gridCol w:w="466"/>
        <w:gridCol w:w="241"/>
        <w:gridCol w:w="146"/>
        <w:gridCol w:w="222"/>
        <w:gridCol w:w="578"/>
        <w:gridCol w:w="146"/>
        <w:gridCol w:w="146"/>
        <w:gridCol w:w="180"/>
        <w:gridCol w:w="466"/>
        <w:gridCol w:w="241"/>
        <w:gridCol w:w="146"/>
        <w:gridCol w:w="215"/>
        <w:gridCol w:w="561"/>
        <w:gridCol w:w="146"/>
        <w:gridCol w:w="146"/>
        <w:gridCol w:w="180"/>
        <w:gridCol w:w="466"/>
        <w:gridCol w:w="241"/>
        <w:gridCol w:w="146"/>
        <w:gridCol w:w="215"/>
        <w:gridCol w:w="561"/>
        <w:gridCol w:w="146"/>
        <w:gridCol w:w="146"/>
        <w:gridCol w:w="180"/>
        <w:gridCol w:w="466"/>
        <w:gridCol w:w="490"/>
      </w:tblGrid>
      <w:tr>
        <w:trPr/>
        <w:tc>
          <w:tcPr>
            <w:tcW w:w="15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15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Total</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Total</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Total</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Total</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5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Semiconductor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4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5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Electronics and Packaging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4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5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Specialty Industrial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net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4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Semiconductor Market</w:t>
      </w:r>
    </w:p>
    <w:p>
      <w:pPr>
        <w:pStyle w:val="TextBody"/>
        <w:bidi w:val="0"/>
        <w:jc w:val="left"/>
        <w:rPr>
          <w:rFonts w:ascii="Times New Roman" w:hAnsi="Times New Roman"/>
          <w:color w:val="000000"/>
          <w:sz w:val="20"/>
        </w:rPr>
      </w:pPr>
      <w:r>
        <w:rPr>
          <w:rFonts w:ascii="Times New Roman" w:hAnsi="Times New Roman"/>
          <w:color w:val="000000"/>
          <w:sz w:val="20"/>
        </w:rPr>
        <w:t>We are a critical solutions provider for semiconductor manufacturing. Our products are used in major semiconductor processing steps, such as deposition, etching, cleaning, lithography, metrology, and inspection. The semiconductor industry continually faces new challenges, as products become smaller, more powerful and highly mobile. Ultra-thin layers, smaller critical dimensions, new materials, 3D structures, and the ongoing need for higher yield and productivity drive the need for tighter process measurement and control, all of which we support. We believe we are the broadest critical subsystem provider in the wafer fabrication equipment (“WFE”) ecosystem and address over 85% of the market. We characterize our broad and unique offering as Surround the Wafer® to reflect the technology enablement we provide across almost every major process in semiconductor manufacturing today.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semiconductor market is subject to rapid demand shifts, which are difficult to predict, and we cannot be certain as to the timing or extent of future demand or any future softening in the semiconductor capital equipment industry. We are currently in a semiconductor ramp as demand for semiconductor chips is growing in the near term as a result of increased investments in AI transformation-related applications. In addition to these rapid demand shifts, the semiconductor capital equipment industry is currently subject to significant trade restrictions, especially in key markets, including China.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2026, net revenues in our semiconductor market increased by $88 million, or 19%, compared to the prior quarter, primarily due to higher sales of our semiconductor capital equipment serving deposition and etch applications as well as NAND memory production upgrades and increased service revenues, all at VSD.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six months ended June 30, 2026, net revenues in our semiconductor market increased by $173 million, or 20%, compared to the same period in the prior year. This increase was mainly due to higher sales of our semiconductor capital equipment serving deposition and etch applications and service revenues at VSD, as well as higher sales of our lithography, metrology and inspection products at PSD.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Electronics and Packaging Market</w:t>
      </w:r>
    </w:p>
    <w:p>
      <w:pPr>
        <w:pStyle w:val="TextBody"/>
        <w:bidi w:val="0"/>
        <w:jc w:val="left"/>
        <w:rPr>
          <w:rFonts w:ascii="Times New Roman" w:hAnsi="Times New Roman"/>
          <w:color w:val="000000"/>
          <w:sz w:val="20"/>
        </w:rPr>
      </w:pPr>
      <w:r>
        <w:rPr>
          <w:rFonts w:ascii="Times New Roman" w:hAnsi="Times New Roman"/>
          <w:color w:val="000000"/>
          <w:sz w:val="20"/>
        </w:rPr>
        <w:t>We are a foundational solutions provider for the electronics and packaging market. Our portfolio includes photonics components, laser drilling systems, electronics chemistries and plating equipment that are critical for the manufacturing of printed circuit boards (“PCB”) and package substrates, and critical to wafer level packaging (“WLP”) applications. Similar to the semiconductor industry, the PCB, package substrate and WLP industries demand smaller features, greater density, and better performance. In addition, the electronics and packaging market also includes sales of our vacuum and photonics solutions for display manufacturing applications. We characterize our complementary offering of laser systems and chemistry solutions as Optimize the Interconnect®, to reflect the unique technology enablement we provide at the Interconnect level within PCBs, package substrates and WLPs. We are currently seeing increased investments driven by AI applications.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2026, net revenues in our electronics and packaging market increased by $60 million, or 19%, compared to the prior quarter primarily due to higher sales of chemistry and chemistry equipment at MSD as well as higher sales of flexible PCB via drilling systems at PSD.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six months ended June 30, 2026, net revenues in our electronics and packaging market increased by $184 million, or 35%, compared to the same period in the prior year. This increase was primarily due to higher sales of chemistry at MSD and higher sales of flexible PCB via drilling systems at PSD.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Specialty Industrial Market</w:t>
      </w:r>
    </w:p>
    <w:p>
      <w:pPr>
        <w:pStyle w:val="TextBody"/>
        <w:bidi w:val="0"/>
        <w:jc w:val="left"/>
        <w:rPr>
          <w:rFonts w:ascii="Times New Roman" w:hAnsi="Times New Roman"/>
          <w:color w:val="000000"/>
          <w:sz w:val="20"/>
        </w:rPr>
      </w:pPr>
      <w:r>
        <w:rPr>
          <w:rFonts w:ascii="Times New Roman" w:hAnsi="Times New Roman"/>
          <w:color w:val="000000"/>
          <w:sz w:val="20"/>
        </w:rPr>
        <w:t xml:space="preserve">Our strategy in the specialty industrial market is to leverage our domain expertise and proprietary technologies across a broad array of applications in industrial, life and health sciences, and research and defense markets. </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Industrial</w:t>
      </w:r>
    </w:p>
    <w:p>
      <w:pPr>
        <w:pStyle w:val="TextBody"/>
        <w:bidi w:val="0"/>
        <w:jc w:val="left"/>
        <w:rPr>
          <w:rFonts w:ascii="Times New Roman" w:hAnsi="Times New Roman"/>
          <w:color w:val="000000"/>
          <w:sz w:val="20"/>
        </w:rPr>
      </w:pPr>
      <w:r>
        <w:rPr>
          <w:rFonts w:ascii="Times New Roman" w:hAnsi="Times New Roman"/>
          <w:color w:val="000000"/>
          <w:sz w:val="20"/>
        </w:rPr>
        <w:t xml:space="preserve">Industrial encompasses a wide range of diverse applications, including chemistries for functional coatings, surface finishing and wear resistance in the automobile industry, vacuum solutions for synthetic diamond manufacturing and photonics for solar manufacturing and datacom applications. Other applications include vacuum and photonics solutions for light emitting diode and laser diode manufacturing. </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Life and Health Sciences</w:t>
      </w:r>
    </w:p>
    <w:p>
      <w:pPr>
        <w:pStyle w:val="TextBody"/>
        <w:bidi w:val="0"/>
        <w:jc w:val="left"/>
        <w:rPr>
          <w:rFonts w:ascii="Times New Roman" w:hAnsi="Times New Roman"/>
          <w:color w:val="000000"/>
          <w:sz w:val="20"/>
        </w:rPr>
      </w:pPr>
      <w:r>
        <w:rPr>
          <w:rFonts w:ascii="Times New Roman" w:hAnsi="Times New Roman"/>
          <w:color w:val="000000"/>
          <w:sz w:val="20"/>
        </w:rPr>
        <w:t xml:space="preserve">Our products for life and health sciences are used in a diverse array of applications, including bioimaging, medical instrument sterilization, medical device manufacturing, analytical, diagnostic and surgical instrumentation, consumable medical supply manufacturing and pharmaceutical production. </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Research and Defense</w:t>
      </w:r>
    </w:p>
    <w:p>
      <w:pPr>
        <w:pStyle w:val="TextBody"/>
        <w:bidi w:val="0"/>
        <w:spacing w:before="0" w:after="360"/>
        <w:jc w:val="left"/>
        <w:rPr>
          <w:rFonts w:ascii="Times New Roman" w:hAnsi="Times New Roman"/>
          <w:color w:val="000000"/>
          <w:sz w:val="20"/>
        </w:rPr>
      </w:pPr>
      <w:r>
        <w:rPr>
          <w:rFonts w:ascii="Times New Roman" w:hAnsi="Times New Roman"/>
          <w:color w:val="000000"/>
          <w:sz w:val="20"/>
        </w:rPr>
        <w:t xml:space="preserve">Our products for research and defense are sold to government, university and industrial laboratories for applications involving research and development in materials science, physical chemistry, photonics, optics and electronics materials. Our products are also sold for monitoring and defense applications, including surveillance, imaging and infrastructure protection.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For the three months ended June 30, 2026, net revenues in our specialty industrial market increased by $22 million, or 8%, compared to the prior quarter, mainly due to higher sales in datacom applications at PSD and general industrial applications across all our divisions.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the six months ended June 30, 2026, net revenues in our specialty industrial market increased by $59 million, or 11%, compared to the same period in the prior year. This increase was primarily due to higher sales in datacom applications and defense applications at PSD.</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International Markets</w:t>
      </w:r>
    </w:p>
    <w:p>
      <w:pPr>
        <w:pStyle w:val="TextBody"/>
        <w:bidi w:val="0"/>
        <w:jc w:val="left"/>
        <w:rPr>
          <w:rFonts w:ascii="Times New Roman" w:hAnsi="Times New Roman"/>
          <w:color w:val="000000"/>
          <w:sz w:val="20"/>
        </w:rPr>
      </w:pPr>
      <w:r>
        <w:rPr>
          <w:rFonts w:ascii="Times New Roman" w:hAnsi="Times New Roman"/>
          <w:color w:val="000000"/>
          <w:sz w:val="20"/>
        </w:rPr>
        <w:t xml:space="preserve">A significant portion of our net revenues is from sales to customers in international markets. For the six months ended June 30, 2026 and 2025, international net revenues accounted for approximately 82% and 81% respectively, of our total net revenues. We report geographical net revenues based on the shipped-to location of the end customer. A significant portion of our international net revenues was from customers in China, South Korea, Malaysia, Taiwan, Singapore and Japan. We expect international net revenues will continue to account for a significant percentage of total net revenues for the foreseeable future.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Long-lived assets located outside of the United States accounted for approximately 69% and 70% of our total long-lived assets as of June 30, 2026 and December 31, 2025, respectively. Long-lived assets include property, plant and equipment, net, right-of-use assets and certain other assets.</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jc w:val="left"/>
        <w:rPr>
          <w:rFonts w:ascii="Times New Roman" w:hAnsi="Times New Roman"/>
          <w:color w:val="000000"/>
          <w:sz w:val="20"/>
        </w:rPr>
      </w:pPr>
      <w:r>
        <w:rPr>
          <w:rFonts w:ascii="Times New Roman" w:hAnsi="Times New Roman"/>
          <w:color w:val="000000"/>
          <w:sz w:val="20"/>
        </w:rPr>
        <w:t>The preparation of our consolidated financial statements and related disclosures in conformity with accounting principles generally accepted in the United States requires management to make judgments, assumptions and estimates that affect the amounts reported. There have been no material changes in our critical accounting policies since December 31, 2025.</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For further information about our critical accounting policies, please see the discussion of critical accounting policies in our Annual Report in the section captioned “Management’s Discussion and Analysis of Financial Condition and Results of Operations </w:t>
      </w:r>
      <w:r>
        <w:rPr>
          <w:rFonts w:ascii="Times New Roman" w:hAnsi="Times New Roman"/>
          <w:color w:val="333333"/>
          <w:sz w:val="20"/>
        </w:rPr>
        <w:t>—</w:t>
      </w:r>
      <w:r>
        <w:rPr>
          <w:rFonts w:ascii="Times New Roman" w:hAnsi="Times New Roman"/>
          <w:color w:val="000000"/>
          <w:sz w:val="20"/>
        </w:rPr>
        <w:t xml:space="preserve"> Critical Accounting Policies and Estimates.”</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sets forth, for the periods indicated, the percentage of total net revenues of certain line items included in our condensed consolidated statements of operations and comprehensive income (loss) data:</w:t>
      </w:r>
    </w:p>
    <w:p>
      <w:pPr>
        <w:pStyle w:val="TextBody"/>
        <w:bidi w:val="0"/>
        <w:spacing w:before="0" w:after="120"/>
        <w:jc w:val="left"/>
        <w:rPr/>
      </w:pPr>
      <w:r>
        <w:rPr/>
        <w:t> </w:t>
      </w:r>
    </w:p>
    <w:tbl>
      <w:tblPr>
        <w:tblW w:w="10205" w:type="dxa"/>
        <w:jc w:val="left"/>
        <w:tblInd w:w="0" w:type="dxa"/>
        <w:tblLayout w:type="fixed"/>
        <w:tblCellMar>
          <w:top w:w="28" w:type="dxa"/>
          <w:left w:w="28" w:type="dxa"/>
          <w:bottom w:w="28" w:type="dxa"/>
          <w:right w:w="28" w:type="dxa"/>
        </w:tblCellMar>
      </w:tblPr>
      <w:tblGrid>
        <w:gridCol w:w="4076"/>
        <w:gridCol w:w="546"/>
        <w:gridCol w:w="205"/>
        <w:gridCol w:w="720"/>
        <w:gridCol w:w="256"/>
        <w:gridCol w:w="146"/>
        <w:gridCol w:w="223"/>
        <w:gridCol w:w="784"/>
        <w:gridCol w:w="256"/>
        <w:gridCol w:w="146"/>
        <w:gridCol w:w="205"/>
        <w:gridCol w:w="720"/>
        <w:gridCol w:w="256"/>
        <w:gridCol w:w="146"/>
        <w:gridCol w:w="205"/>
        <w:gridCol w:w="720"/>
        <w:gridCol w:w="595"/>
      </w:tblGrid>
      <w:tr>
        <w:trPr/>
        <w:tc>
          <w:tcPr>
            <w:tcW w:w="407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2025</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revenues: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87.3</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net revenues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Cost of product revenues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Cost of service revenues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cost of revenues (exclusive of amortization shown separately below)</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general and administrative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Restructuring and other</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Legal settlement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Fees and expenses related to debt activities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Amortization of intangible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from operations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extinguishment of debt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 net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before income taxes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our net revenues for product and service:</w:t>
      </w:r>
    </w:p>
    <w:p>
      <w:pPr>
        <w:pStyle w:val="TextBody"/>
        <w:bidi w:val="0"/>
        <w:spacing w:before="120" w:after="240"/>
        <w:jc w:val="left"/>
        <w:rPr>
          <w:rFonts w:ascii="Times New Roman" w:hAnsi="Times New Roman"/>
          <w:color w:val="000000"/>
          <w:sz w:val="20"/>
          <w:u w:val="single"/>
        </w:rPr>
      </w:pPr>
      <w:r>
        <w:rPr>
          <w:rFonts w:ascii="Times New Roman" w:hAnsi="Times New Roman"/>
          <w:color w:val="000000"/>
          <w:sz w:val="20"/>
          <w:u w:val="single"/>
        </w:rPr>
        <w:t>Net Revenues</w:t>
      </w:r>
    </w:p>
    <w:tbl>
      <w:tblPr>
        <w:tblW w:w="7444" w:type="dxa"/>
        <w:jc w:val="left"/>
        <w:tblInd w:w="0" w:type="dxa"/>
        <w:tblLayout w:type="fixed"/>
        <w:tblCellMar>
          <w:top w:w="28" w:type="dxa"/>
          <w:left w:w="28" w:type="dxa"/>
          <w:bottom w:w="28" w:type="dxa"/>
          <w:right w:w="28" w:type="dxa"/>
        </w:tblCellMar>
      </w:tblPr>
      <w:tblGrid>
        <w:gridCol w:w="1516"/>
        <w:gridCol w:w="146"/>
        <w:gridCol w:w="303"/>
        <w:gridCol w:w="792"/>
        <w:gridCol w:w="146"/>
        <w:gridCol w:w="146"/>
        <w:gridCol w:w="341"/>
        <w:gridCol w:w="889"/>
        <w:gridCol w:w="146"/>
        <w:gridCol w:w="146"/>
        <w:gridCol w:w="303"/>
        <w:gridCol w:w="792"/>
        <w:gridCol w:w="146"/>
        <w:gridCol w:w="146"/>
        <w:gridCol w:w="303"/>
        <w:gridCol w:w="792"/>
        <w:gridCol w:w="3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net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June 30, 2026, net product revenues increased $150 million compared to the prior quarter primarily due to higher sales of our semiconductor capital equipment serving deposition and etch applications as well as higher NAND memory production upgrades at VSD, higher sales of chemistry at MSD and higher sales of flexible PCB via drilling systems at PSD.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2026, net product revenues increased $390 million compared to the same period in the prior year, primarily as a result of higher sales of chemistry at MSD, semiconductor capital equipment serving deposition and etch applications at VSD, and flexible PCB via drilling systems and datacom applications at PSD.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service revenues consisted mainly of fees for services related to the maintenance and repair of our products, sales of spare parts, and installation and training. For the three months ended June 30, 2026, net service revenues increased $20 million compared to the prior quarter mainly as a result of higher repair demand in our semiconductor market at VSD.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2026, net service revenues increased $26 million compared to the same period in the prior year, primarily due to higher repair demand in our semiconductor market at VSD.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our net revenues by reportable segment:</w:t>
      </w:r>
    </w:p>
    <w:tbl>
      <w:tblPr>
        <w:tblW w:w="8334" w:type="dxa"/>
        <w:jc w:val="left"/>
        <w:tblInd w:w="0" w:type="dxa"/>
        <w:tblLayout w:type="fixed"/>
        <w:tblCellMar>
          <w:top w:w="28" w:type="dxa"/>
          <w:left w:w="28" w:type="dxa"/>
          <w:bottom w:w="28" w:type="dxa"/>
          <w:right w:w="28" w:type="dxa"/>
        </w:tblCellMar>
      </w:tblPr>
      <w:tblGrid>
        <w:gridCol w:w="2406"/>
        <w:gridCol w:w="146"/>
        <w:gridCol w:w="303"/>
        <w:gridCol w:w="792"/>
        <w:gridCol w:w="146"/>
        <w:gridCol w:w="146"/>
        <w:gridCol w:w="341"/>
        <w:gridCol w:w="889"/>
        <w:gridCol w:w="146"/>
        <w:gridCol w:w="146"/>
        <w:gridCol w:w="303"/>
        <w:gridCol w:w="792"/>
        <w:gridCol w:w="146"/>
        <w:gridCol w:w="146"/>
        <w:gridCol w:w="303"/>
        <w:gridCol w:w="792"/>
        <w:gridCol w:w="391"/>
      </w:tblGrid>
      <w:tr>
        <w:trPr/>
        <w:tc>
          <w:tcPr>
            <w:tcW w:w="2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Vacuum Solutions Division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Photonics Solutions Division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Materials Solutions Division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net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June 30, 2026, net revenues from VSD increased $82 million compared to the prior quarter mainly due to increased sales of semiconductor capital equipment serving deposition and etch applications as well as NAND memory production upgrades and higher service revenues. For the six months ended June 30, 2026, net revenues from VSD increased $140 million compared to the same period in the prior year, mainly due to higher sales of our semiconductor capital equipment serving deposition and etch applications and higher service revenues.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2026, net revenues from PSD increased $38 million compared to the prior quarter mainly due to higher sales of flexible PCB via drilling systems in our electronics and packaging market, lithography, metrology and inspection products in our semiconductor market and datacom applications in our specialty industrial market. For the six months ended June 30, 2026, net revenues from PSD increased $136 million compared to the same period in the prior year, mainly due to higher sales of flexible PCB via drilling systems in our electronics and packaging market, datacom applications in our specialty industrial market, as well as lithography, metrology and inspection products in our semiconductor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2026, net revenues from MSD increased $50 million compared to the prior quarter mainly due to higher sales of chemistry and chemistry equipment in our electronics and packaging market. For the six months ended June 30, 2026, net revenues from MSD increased $140 million compared to the same period in the prior year, mainly due to higher sales of chemistry in our electronics and packaging market.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gross profit as a percentage of net revenues by product and service:</w:t>
      </w:r>
    </w:p>
    <w:p>
      <w:pPr>
        <w:pStyle w:val="TextBody"/>
        <w:bidi w:val="0"/>
        <w:spacing w:before="120" w:after="240"/>
        <w:jc w:val="left"/>
        <w:rPr>
          <w:rFonts w:ascii="Times New Roman" w:hAnsi="Times New Roman"/>
          <w:color w:val="000000"/>
          <w:sz w:val="20"/>
          <w:u w:val="single"/>
        </w:rPr>
      </w:pPr>
      <w:r>
        <w:rPr>
          <w:rFonts w:ascii="Times New Roman" w:hAnsi="Times New Roman"/>
          <w:color w:val="000000"/>
          <w:sz w:val="20"/>
          <w:u w:val="single"/>
        </w:rPr>
        <w:t>Gross Profit Excluding Amortization</w:t>
      </w:r>
    </w:p>
    <w:tbl>
      <w:tblPr>
        <w:tblW w:w="10205" w:type="dxa"/>
        <w:jc w:val="left"/>
        <w:tblInd w:w="0" w:type="dxa"/>
        <w:tblLayout w:type="fixed"/>
        <w:tblCellMar>
          <w:top w:w="28" w:type="dxa"/>
          <w:left w:w="28" w:type="dxa"/>
          <w:bottom w:w="28" w:type="dxa"/>
          <w:right w:w="28" w:type="dxa"/>
        </w:tblCellMar>
      </w:tblPr>
      <w:tblGrid>
        <w:gridCol w:w="2111"/>
        <w:gridCol w:w="146"/>
        <w:gridCol w:w="249"/>
        <w:gridCol w:w="719"/>
        <w:gridCol w:w="256"/>
        <w:gridCol w:w="146"/>
        <w:gridCol w:w="275"/>
        <w:gridCol w:w="796"/>
        <w:gridCol w:w="256"/>
        <w:gridCol w:w="146"/>
        <w:gridCol w:w="191"/>
        <w:gridCol w:w="515"/>
        <w:gridCol w:w="301"/>
        <w:gridCol w:w="146"/>
        <w:gridCol w:w="249"/>
        <w:gridCol w:w="719"/>
        <w:gridCol w:w="256"/>
        <w:gridCol w:w="146"/>
        <w:gridCol w:w="249"/>
        <w:gridCol w:w="719"/>
        <w:gridCol w:w="256"/>
        <w:gridCol w:w="146"/>
        <w:gridCol w:w="191"/>
        <w:gridCol w:w="515"/>
        <w:gridCol w:w="506"/>
      </w:tblGrid>
      <w:tr>
        <w:trPr/>
        <w:tc>
          <w:tcPr>
            <w:tcW w:w="2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4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4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Points</w:t>
              <w:br/>
              <w:t>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Points</w:t>
              <w:br/>
              <w:t>Change</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(As a percentage of net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gross profit percentage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as a percentage of net product revenues increased by 1.2 percentage points for the three months ended June 30, 2026 compared to the prior quarter, primarily due to higher revenue volumes, lower excess and obsolete inventory charges, and lower tariff and duty costs, partially offset by unfavorable product mix.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Gross profit as a percentage of net product revenues increased by 0.7 percentage points for the six months ended June 30, 2026 compared to the same period in the prior year, primarily due to higher revenue volumes and lower excess and obsolete inventory charges, partially offset by unfavorable product mix.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as a percentage of net services revenues decreased by 4.2 percentage points for the three months ended June 30, 2026 compared to the prior quarter, primarily due to unfavorable product mix and unfavorable labor and overhead absorption, partially offset by higher revenue volumes.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as a percentage of net services revenues decreased by 1.8 percentage points for the six months ended June 30, 2026 compared to the same period in the prior year, primarily due to unfavorable product mix, partially offset by lower excess and obsolete inventory charges.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gross profit as a percentage of net revenues by reportable segment:</w:t>
      </w:r>
    </w:p>
    <w:tbl>
      <w:tblPr>
        <w:tblW w:w="10205" w:type="dxa"/>
        <w:jc w:val="left"/>
        <w:tblInd w:w="0" w:type="dxa"/>
        <w:tblLayout w:type="fixed"/>
        <w:tblCellMar>
          <w:top w:w="28" w:type="dxa"/>
          <w:left w:w="28" w:type="dxa"/>
          <w:bottom w:w="28" w:type="dxa"/>
          <w:right w:w="28" w:type="dxa"/>
        </w:tblCellMar>
      </w:tblPr>
      <w:tblGrid>
        <w:gridCol w:w="2112"/>
        <w:gridCol w:w="146"/>
        <w:gridCol w:w="246"/>
        <w:gridCol w:w="711"/>
        <w:gridCol w:w="256"/>
        <w:gridCol w:w="146"/>
        <w:gridCol w:w="272"/>
        <w:gridCol w:w="786"/>
        <w:gridCol w:w="256"/>
        <w:gridCol w:w="146"/>
        <w:gridCol w:w="191"/>
        <w:gridCol w:w="515"/>
        <w:gridCol w:w="300"/>
        <w:gridCol w:w="146"/>
        <w:gridCol w:w="246"/>
        <w:gridCol w:w="711"/>
        <w:gridCol w:w="256"/>
        <w:gridCol w:w="146"/>
        <w:gridCol w:w="246"/>
        <w:gridCol w:w="711"/>
        <w:gridCol w:w="256"/>
        <w:gridCol w:w="146"/>
        <w:gridCol w:w="191"/>
        <w:gridCol w:w="515"/>
        <w:gridCol w:w="552"/>
      </w:tblGrid>
      <w:tr>
        <w:trPr/>
        <w:tc>
          <w:tcPr>
            <w:tcW w:w="21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21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Points</w:t>
              <w:br/>
              <w:t>Change</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Points</w:t>
              <w:br/>
              <w:t>Change</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(As a percentage of net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Vacuum Solutions Division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5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1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Photonics Solutions Division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5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1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Materials Solutions Division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gross profit percentage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Gross profit as a percentage of net revenues for VSD increased for the three months ended June 30, 2026 compared to the prior quarter, primarily due to higher revenue volumes, lower excess and obsolete inventory charges and lower tariff and duty costs, partially offset by unfavorable factory utilization and product mix. Gross profit as a percentage of net revenues for VSD decreased for the six months ended June 30, 2026 compared to the same period in the prior year, primarily due to unfavorable product mix, partially offset by higher revenue volumes and favorable factory utilization as well as lower excess and obsolete inventory charges.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as a percentage of net revenues for PSD increased for the three months ended June 30, 2026 compared to the prior quarter, primarily due to lower tariff and duty costs and higher revenue volumes. Gross profit as a percentage of net revenues for PSD increased for the six months ended June 30, 2026 compared to the same period in the prior year, primarily due to higher revenue volumes, favorable factory utilization and lower excess and obsolete inventory charges, partially offset by unfavorable product mix.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as a percentage of net revenues for MSD decreased for the three months ended June 30, 2026 compared to the prior quarter, primarily due to unfavorable product mix, partially offset by higher revenue volumes. Gross profit as a percentage of net revenues for MSD decreased for the six months ended June 30, 2026 compared to the same period in the prior year, primarily due to unfavorable product mix, partially offset by higher revenue volumes.</w:t>
      </w:r>
    </w:p>
    <w:p>
      <w:pPr>
        <w:pStyle w:val="TextBody"/>
        <w:bidi w:val="0"/>
        <w:spacing w:before="100" w:after="100"/>
        <w:jc w:val="left"/>
        <w:rPr>
          <w:rFonts w:ascii="Times New Roman" w:hAnsi="Times New Roman"/>
          <w:color w:val="000000"/>
          <w:sz w:val="20"/>
        </w:rPr>
      </w:pPr>
      <w:r>
        <w:rPr>
          <w:rFonts w:ascii="Times New Roman" w:hAnsi="Times New Roman"/>
          <w:color w:val="000000"/>
          <w:sz w:val="20"/>
        </w:rPr>
        <w:t>The above gross profit percentages by division exclude an immaterial amount of unallocated corporate expense included in the total gross profit percentage.</w:t>
      </w:r>
    </w:p>
    <w:p>
      <w:pPr>
        <w:pStyle w:val="TextBody"/>
        <w:bidi w:val="0"/>
        <w:spacing w:before="140" w:after="240"/>
        <w:jc w:val="left"/>
        <w:rPr>
          <w:rFonts w:ascii="Times New Roman" w:hAnsi="Times New Roman"/>
          <w:color w:val="000000"/>
          <w:sz w:val="20"/>
          <w:u w:val="single"/>
        </w:rPr>
      </w:pPr>
      <w:r>
        <w:rPr>
          <w:rFonts w:ascii="Times New Roman" w:hAnsi="Times New Roman"/>
          <w:color w:val="000000"/>
          <w:sz w:val="20"/>
          <w:u w:val="single"/>
        </w:rPr>
        <w:t>Research and Development</w:t>
      </w:r>
    </w:p>
    <w:tbl>
      <w:tblPr>
        <w:tblW w:w="8087" w:type="dxa"/>
        <w:jc w:val="left"/>
        <w:tblInd w:w="0" w:type="dxa"/>
        <w:tblLayout w:type="fixed"/>
        <w:tblCellMar>
          <w:top w:w="28" w:type="dxa"/>
          <w:left w:w="28" w:type="dxa"/>
          <w:bottom w:w="28" w:type="dxa"/>
          <w:right w:w="28" w:type="dxa"/>
        </w:tblCellMar>
      </w:tblPr>
      <w:tblGrid>
        <w:gridCol w:w="2311"/>
        <w:gridCol w:w="146"/>
        <w:gridCol w:w="439"/>
        <w:gridCol w:w="656"/>
        <w:gridCol w:w="170"/>
        <w:gridCol w:w="170"/>
        <w:gridCol w:w="493"/>
        <w:gridCol w:w="737"/>
        <w:gridCol w:w="146"/>
        <w:gridCol w:w="146"/>
        <w:gridCol w:w="365"/>
        <w:gridCol w:w="730"/>
        <w:gridCol w:w="146"/>
        <w:gridCol w:w="146"/>
        <w:gridCol w:w="365"/>
        <w:gridCol w:w="730"/>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for the three months ended June 30, 2026 decreased $5 million compared to the prior quarter, primarily due to a $4 million reduction in project material costs and a $2 million increase in government assistance grants, partially offset by a $2 million increase in compensation related costs. Research and development expenses increased $12 million for the six months ended June 30, 2026 compared to the same period in the prior year, primarily due to increases of $8 million in compensation-related costs and $3 million in software maintenance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research and development efforts are primarily focused on developing and improving our instruments, components, chemistry, subsystems, systems and process control solutions to improve process performance and productivity. We have thousands of products, and our research and development efforts primarily consist of a large number of projects related to these products, none of which is individually material. Projects typically have a duration of 3 to 36 months but may be extended for development of new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continue to make product advancements designed to meet our customers’ evolving needs. We have developed, and continue to develop, new products designed to address industry trends, such as the rising demand for more complex hardware architecture related to increasing investments in artificial intelligence, the shrinking of integrated circuit critical dimensions and technology inflections, and, in the flat panel display and solar markets, the transition to larger substrate sizes, which require more advanced processing and process control technology, the continuing drive toward more complex and capable components and systems for AI datacenters and edge devices, the growth in units and via counts in the high density interconnect PCB drilling market, and the transition from internal combustion to electric vehicles. In addition, we have developed, and continue to develop, products that support the migration to new classes of materials, ultra-thin layers, and 3D structures that are used in small geometry manufacturing. In our chemistry and equipment plating businesses, a majority of our research and development investment supports existing customers’ product improvement needs and their short-term research and development goals, which enables us to pioneer new high-value solutions while limiting commercial risk. Research and development expenses consist primarily of salaries and related expenses for personnel engaged in research and development, fees paid to consultants, material costs for prototypes and other expenses related to the design, development, testing and enhancement of our products.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the continued investment in research and development and ongoing development of new products are essential to the expansion of our markets. We expect to continue to make significant investment in research and development activities. We are subject to risks from products not being developed in a timely manner, as well as from rapidly changing customer requirements and competitive threats from other companies and technologies. Our success depends on many of our products being designed into new generations of equipment for the semiconductor, electronics and packaging, and specialty industrial markets. We seek to develop products that are technologically advanced so that they are positioned to be chosen for use in each successive generation of semiconductor capital equipment and advanced markets applications. If our products are not chosen to be designed into our customers’ products, our net revenues may be reduced during the lifespan of those products.</w:t>
      </w:r>
    </w:p>
    <w:p>
      <w:pPr>
        <w:pStyle w:val="TextBody"/>
        <w:bidi w:val="0"/>
        <w:spacing w:before="240" w:after="240"/>
        <w:jc w:val="left"/>
        <w:rPr>
          <w:rFonts w:ascii="Times New Roman" w:hAnsi="Times New Roman"/>
          <w:color w:val="000000"/>
          <w:sz w:val="20"/>
          <w:u w:val="single"/>
        </w:rPr>
      </w:pPr>
      <w:r>
        <w:rPr>
          <w:rFonts w:ascii="Times New Roman" w:hAnsi="Times New Roman"/>
          <w:color w:val="000000"/>
          <w:sz w:val="20"/>
          <w:u w:val="single"/>
        </w:rPr>
        <w:t>Selling, General and Administrative</w:t>
      </w:r>
    </w:p>
    <w:tbl>
      <w:tblPr>
        <w:tblW w:w="8686" w:type="dxa"/>
        <w:jc w:val="left"/>
        <w:tblInd w:w="0" w:type="dxa"/>
        <w:tblLayout w:type="fixed"/>
        <w:tblCellMar>
          <w:top w:w="28" w:type="dxa"/>
          <w:left w:w="28" w:type="dxa"/>
          <w:bottom w:w="28" w:type="dxa"/>
          <w:right w:w="28" w:type="dxa"/>
        </w:tblCellMar>
      </w:tblPr>
      <w:tblGrid>
        <w:gridCol w:w="2956"/>
        <w:gridCol w:w="146"/>
        <w:gridCol w:w="365"/>
        <w:gridCol w:w="730"/>
        <w:gridCol w:w="147"/>
        <w:gridCol w:w="147"/>
        <w:gridCol w:w="410"/>
        <w:gridCol w:w="820"/>
        <w:gridCol w:w="146"/>
        <w:gridCol w:w="146"/>
        <w:gridCol w:w="365"/>
        <w:gridCol w:w="730"/>
        <w:gridCol w:w="146"/>
        <w:gridCol w:w="146"/>
        <w:gridCol w:w="365"/>
        <w:gridCol w:w="730"/>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general and administrative expenses increased $10 million for the three months ended June 30, 2026 compared to the prior quarter, primarily due to increases of $6 million in compensation related costs and $1 million in software maintenance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general and administrative expenses increased $28 million for the six months ended June 30, 2026 compared to the same period in the prior year, primarily due to increases of $23 million in compensation related costs and $2 million in sales commissions.</w:t>
      </w:r>
    </w:p>
    <w:p>
      <w:pPr>
        <w:pStyle w:val="TextBody"/>
        <w:bidi w:val="0"/>
        <w:spacing w:before="240" w:after="240"/>
        <w:jc w:val="left"/>
        <w:rPr>
          <w:rFonts w:ascii="Times New Roman" w:hAnsi="Times New Roman"/>
          <w:color w:val="000000"/>
          <w:sz w:val="20"/>
          <w:u w:val="single"/>
        </w:rPr>
      </w:pPr>
      <w:r>
        <w:rPr>
          <w:rFonts w:ascii="Times New Roman" w:hAnsi="Times New Roman"/>
          <w:color w:val="000000"/>
          <w:sz w:val="20"/>
          <w:u w:val="single"/>
        </w:rPr>
        <w:t>Restructuring and Other</w:t>
      </w:r>
    </w:p>
    <w:tbl>
      <w:tblPr>
        <w:tblW w:w="7919" w:type="dxa"/>
        <w:jc w:val="left"/>
        <w:tblInd w:w="0" w:type="dxa"/>
        <w:tblLayout w:type="fixed"/>
        <w:tblCellMar>
          <w:top w:w="28" w:type="dxa"/>
          <w:left w:w="28" w:type="dxa"/>
          <w:bottom w:w="28" w:type="dxa"/>
          <w:right w:w="28" w:type="dxa"/>
        </w:tblCellMar>
      </w:tblPr>
      <w:tblGrid>
        <w:gridCol w:w="2041"/>
        <w:gridCol w:w="146"/>
        <w:gridCol w:w="548"/>
        <w:gridCol w:w="548"/>
        <w:gridCol w:w="202"/>
        <w:gridCol w:w="202"/>
        <w:gridCol w:w="615"/>
        <w:gridCol w:w="615"/>
        <w:gridCol w:w="146"/>
        <w:gridCol w:w="146"/>
        <w:gridCol w:w="548"/>
        <w:gridCol w:w="548"/>
        <w:gridCol w:w="164"/>
        <w:gridCol w:w="164"/>
        <w:gridCol w:w="438"/>
        <w:gridCol w:w="657"/>
        <w:gridCol w:w="19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Restructuring and other charges during the three and six months ended June 30, 2026 and the three months ended March 31, 2026 related primarily to severance costs incurred as a result of a reorganization of certain business units within PSD, which was implemented in the first quarter of 2026, and the planned closing of a PSD facility in Europe, which was initiated during the first quarter of 2026. The facility closing is expected to be completed in early 2027. Restructuring and other charges during the six months ended June 30, 2025 related primarily to severance costs incurred as a result of a global cost saving initiative implemented during the first quarter of 2025, mainly in the general metal finishing business within MSD.</w:t>
      </w:r>
    </w:p>
    <w:p>
      <w:pPr>
        <w:pStyle w:val="TextBody"/>
        <w:bidi w:val="0"/>
        <w:spacing w:before="240" w:after="240"/>
        <w:jc w:val="left"/>
        <w:rPr>
          <w:rFonts w:ascii="Times New Roman" w:hAnsi="Times New Roman"/>
          <w:color w:val="000000"/>
          <w:sz w:val="20"/>
          <w:u w:val="single"/>
        </w:rPr>
      </w:pPr>
      <w:r>
        <w:rPr>
          <w:rFonts w:ascii="Times New Roman" w:hAnsi="Times New Roman"/>
          <w:color w:val="000000"/>
          <w:sz w:val="20"/>
          <w:u w:val="single"/>
        </w:rPr>
        <w:t>Legal Settlement</w:t>
      </w:r>
    </w:p>
    <w:tbl>
      <w:tblPr>
        <w:tblW w:w="7343" w:type="dxa"/>
        <w:jc w:val="left"/>
        <w:tblInd w:w="0" w:type="dxa"/>
        <w:tblLayout w:type="fixed"/>
        <w:tblCellMar>
          <w:top w:w="28" w:type="dxa"/>
          <w:left w:w="28" w:type="dxa"/>
          <w:bottom w:w="28" w:type="dxa"/>
          <w:right w:w="28" w:type="dxa"/>
        </w:tblCellMar>
      </w:tblPr>
      <w:tblGrid>
        <w:gridCol w:w="1516"/>
        <w:gridCol w:w="146"/>
        <w:gridCol w:w="414"/>
        <w:gridCol w:w="681"/>
        <w:gridCol w:w="181"/>
        <w:gridCol w:w="181"/>
        <w:gridCol w:w="615"/>
        <w:gridCol w:w="615"/>
        <w:gridCol w:w="146"/>
        <w:gridCol w:w="146"/>
        <w:gridCol w:w="548"/>
        <w:gridCol w:w="548"/>
        <w:gridCol w:w="160"/>
        <w:gridCol w:w="160"/>
        <w:gridCol w:w="414"/>
        <w:gridCol w:w="681"/>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During the three months ended March 31, 2026 and the six months ended June 30, 2026, we recorded a charge related to the resolution of a legal matter. </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Fees and Expenses Related to Debt Activities</w:t>
      </w:r>
    </w:p>
    <w:tbl>
      <w:tblPr>
        <w:tblW w:w="9423" w:type="dxa"/>
        <w:jc w:val="left"/>
        <w:tblInd w:w="0" w:type="dxa"/>
        <w:tblLayout w:type="fixed"/>
        <w:tblCellMar>
          <w:top w:w="28" w:type="dxa"/>
          <w:left w:w="28" w:type="dxa"/>
          <w:bottom w:w="28" w:type="dxa"/>
          <w:right w:w="28" w:type="dxa"/>
        </w:tblCellMar>
      </w:tblPr>
      <w:tblGrid>
        <w:gridCol w:w="3616"/>
        <w:gridCol w:w="146"/>
        <w:gridCol w:w="414"/>
        <w:gridCol w:w="681"/>
        <w:gridCol w:w="167"/>
        <w:gridCol w:w="167"/>
        <w:gridCol w:w="492"/>
        <w:gridCol w:w="738"/>
        <w:gridCol w:w="146"/>
        <w:gridCol w:w="146"/>
        <w:gridCol w:w="438"/>
        <w:gridCol w:w="657"/>
        <w:gridCol w:w="164"/>
        <w:gridCol w:w="164"/>
        <w:gridCol w:w="548"/>
        <w:gridCol w:w="548"/>
        <w:gridCol w:w="19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Fees and expenses related to debt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During the three months ended March 31, 2026 and the six months ended June 30, 2026, we recorded fees and expenses related to the Sixth Amendment to Credit Agreement, dated as of February 4, 2026, by and among us as parent borrower, the other loan parties party thereto, JPMorgan Chase Bank, N.A., as administrative agent, and each lender party thereto (the “Sixth Amendment”) as well as a fee from a foreign exchange option contract related to the 2034 Notes (as defined below). During the six months ended June 30, 2025, we recorded fees and expenses related to the Fifth Amendment to Credit Agreement, dated as of January 24, 2025, by and among us as parent borrower, the other loan parties party thereto, JPMorgan Chase Bank, N.A., as administrative agent, and each lender party thereto (the “Fifth Amendment”).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u w:val="single"/>
        </w:rPr>
      </w:pPr>
      <w:r>
        <w:rPr>
          <w:rFonts w:ascii="Times New Roman" w:hAnsi="Times New Roman"/>
          <w:color w:val="000000"/>
          <w:sz w:val="20"/>
          <w:u w:val="single"/>
        </w:rPr>
        <w:t>Amortization of Intangible Assets</w:t>
      </w:r>
    </w:p>
    <w:tbl>
      <w:tblPr>
        <w:tblW w:w="8582" w:type="dxa"/>
        <w:jc w:val="left"/>
        <w:tblInd w:w="0" w:type="dxa"/>
        <w:tblLayout w:type="fixed"/>
        <w:tblCellMar>
          <w:top w:w="28" w:type="dxa"/>
          <w:left w:w="28" w:type="dxa"/>
          <w:bottom w:w="28" w:type="dxa"/>
          <w:right w:w="28" w:type="dxa"/>
        </w:tblCellMar>
      </w:tblPr>
      <w:tblGrid>
        <w:gridCol w:w="2806"/>
        <w:gridCol w:w="146"/>
        <w:gridCol w:w="439"/>
        <w:gridCol w:w="656"/>
        <w:gridCol w:w="170"/>
        <w:gridCol w:w="170"/>
        <w:gridCol w:w="493"/>
        <w:gridCol w:w="737"/>
        <w:gridCol w:w="146"/>
        <w:gridCol w:w="146"/>
        <w:gridCol w:w="365"/>
        <w:gridCol w:w="730"/>
        <w:gridCol w:w="146"/>
        <w:gridCol w:w="146"/>
        <w:gridCol w:w="365"/>
        <w:gridCol w:w="730"/>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Amortization of intangible assets for the three months ended June 30, 2026 decreased $1 million compared to the prior quarter and for the six months ended June 30, 2026 increased $3 million compared to the same period in the prior year, primarily due to the impact of foreign exchange rates on intangible assets at foreign locations.</w:t>
      </w:r>
    </w:p>
    <w:p>
      <w:pPr>
        <w:pStyle w:val="TextBody"/>
        <w:bidi w:val="0"/>
        <w:spacing w:before="240" w:after="240"/>
        <w:jc w:val="left"/>
        <w:rPr>
          <w:rFonts w:ascii="Times New Roman" w:hAnsi="Times New Roman"/>
          <w:color w:val="000000"/>
          <w:sz w:val="20"/>
          <w:u w:val="single"/>
        </w:rPr>
      </w:pPr>
      <w:r>
        <w:rPr>
          <w:rFonts w:ascii="Times New Roman" w:hAnsi="Times New Roman"/>
          <w:color w:val="000000"/>
          <w:sz w:val="20"/>
          <w:u w:val="single"/>
        </w:rPr>
        <w:t>Interest Expense, Net</w:t>
      </w:r>
    </w:p>
    <w:tbl>
      <w:tblPr>
        <w:tblW w:w="7547" w:type="dxa"/>
        <w:jc w:val="left"/>
        <w:tblInd w:w="0" w:type="dxa"/>
        <w:tblLayout w:type="fixed"/>
        <w:tblCellMar>
          <w:top w:w="28" w:type="dxa"/>
          <w:left w:w="28" w:type="dxa"/>
          <w:bottom w:w="28" w:type="dxa"/>
          <w:right w:w="28" w:type="dxa"/>
        </w:tblCellMar>
      </w:tblPr>
      <w:tblGrid>
        <w:gridCol w:w="1771"/>
        <w:gridCol w:w="146"/>
        <w:gridCol w:w="439"/>
        <w:gridCol w:w="656"/>
        <w:gridCol w:w="170"/>
        <w:gridCol w:w="170"/>
        <w:gridCol w:w="493"/>
        <w:gridCol w:w="737"/>
        <w:gridCol w:w="146"/>
        <w:gridCol w:w="146"/>
        <w:gridCol w:w="438"/>
        <w:gridCol w:w="657"/>
        <w:gridCol w:w="146"/>
        <w:gridCol w:w="146"/>
        <w:gridCol w:w="365"/>
        <w:gridCol w:w="730"/>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net decreased by $7 million for the three months ended June 30, 2026 compared to the prior quarter, primarily due to the Sixth Amendment, which resulted in a reduction in interest rates under our Term Loan Facility and the 2034 Notes Offering (each as defined below), the proceeds of which we used, together with cash on hand, to prepay approximately $1.3 billion of our USD Tranche B (as defined below). We also made a voluntary prepayment of $100 million on our USD Tranche B during the three months ended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expense, net, decreased by $22 million for the six months ended June 30, 2026, compared to the same period in the prior year, primarily as a result of the Sixth Amendment and the 2034 Notes Offering as described above, as well as various quarterly voluntary prepayments on the USD Tranche B in the amount of $400 million and $200 million in 2025 and 2026, respectively. </w:t>
      </w:r>
    </w:p>
    <w:p>
      <w:pPr>
        <w:pStyle w:val="TextBody"/>
        <w:bidi w:val="0"/>
        <w:spacing w:before="240" w:after="240"/>
        <w:jc w:val="left"/>
        <w:rPr>
          <w:rFonts w:ascii="Times New Roman" w:hAnsi="Times New Roman"/>
          <w:color w:val="000000"/>
          <w:sz w:val="20"/>
          <w:u w:val="single"/>
        </w:rPr>
      </w:pPr>
      <w:r>
        <w:rPr>
          <w:rFonts w:ascii="Times New Roman" w:hAnsi="Times New Roman"/>
          <w:color w:val="000000"/>
          <w:sz w:val="20"/>
          <w:u w:val="single"/>
        </w:rPr>
        <w:t>Loss on Extinguishment of Debt</w:t>
      </w:r>
    </w:p>
    <w:tbl>
      <w:tblPr>
        <w:tblW w:w="8595" w:type="dxa"/>
        <w:jc w:val="left"/>
        <w:tblInd w:w="0" w:type="dxa"/>
        <w:tblLayout w:type="fixed"/>
        <w:tblCellMar>
          <w:top w:w="28" w:type="dxa"/>
          <w:left w:w="28" w:type="dxa"/>
          <w:bottom w:w="28" w:type="dxa"/>
          <w:right w:w="28" w:type="dxa"/>
        </w:tblCellMar>
      </w:tblPr>
      <w:tblGrid>
        <w:gridCol w:w="2686"/>
        <w:gridCol w:w="146"/>
        <w:gridCol w:w="548"/>
        <w:gridCol w:w="548"/>
        <w:gridCol w:w="202"/>
        <w:gridCol w:w="202"/>
        <w:gridCol w:w="615"/>
        <w:gridCol w:w="615"/>
        <w:gridCol w:w="146"/>
        <w:gridCol w:w="146"/>
        <w:gridCol w:w="548"/>
        <w:gridCol w:w="548"/>
        <w:gridCol w:w="179"/>
        <w:gridCol w:w="179"/>
        <w:gridCol w:w="548"/>
        <w:gridCol w:w="548"/>
        <w:gridCol w:w="1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2026, we recorded a loss on extinguishment of debt as a result of the acceleration of deferred financing and original issue discounts associated with our loans under the Term Loan Facility in connection with a voluntary prepayment.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2026 and six months ended June 30, 2026, in connection with the Sixth Amendment and voluntary prepayment on our USD Tranche B loan in February 2026, we recorded a loss on extinguishment of debt as a result of the acceleration of deferred financing and original issue discounts associated with our loans under the Term Loan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six months ended June 30, 2025, we recorded a loss on extinguishment of debt as a result of the acceleration of deferred financing and original issue discounts associated with our loans under the Term Loan Facility in connection with voluntary prepayments in January 2025 and June 2025 and the Fifth Amendment. </w:t>
      </w:r>
    </w:p>
    <w:p>
      <w:pPr>
        <w:pStyle w:val="TextBody"/>
        <w:bidi w:val="0"/>
        <w:spacing w:before="240" w:after="240"/>
        <w:jc w:val="left"/>
        <w:rPr>
          <w:rFonts w:ascii="Times New Roman" w:hAnsi="Times New Roman"/>
          <w:color w:val="000000"/>
          <w:sz w:val="20"/>
          <w:u w:val="single"/>
        </w:rPr>
      </w:pPr>
      <w:r>
        <w:rPr>
          <w:rFonts w:ascii="Times New Roman" w:hAnsi="Times New Roman"/>
          <w:color w:val="000000"/>
          <w:sz w:val="20"/>
          <w:u w:val="single"/>
        </w:rPr>
        <w:t>Other (Income) Expense, Net</w:t>
      </w:r>
    </w:p>
    <w:tbl>
      <w:tblPr>
        <w:tblW w:w="8293" w:type="dxa"/>
        <w:jc w:val="left"/>
        <w:tblInd w:w="0" w:type="dxa"/>
        <w:tblLayout w:type="fixed"/>
        <w:tblCellMar>
          <w:top w:w="28" w:type="dxa"/>
          <w:left w:w="28" w:type="dxa"/>
          <w:bottom w:w="28" w:type="dxa"/>
          <w:right w:w="28" w:type="dxa"/>
        </w:tblCellMar>
      </w:tblPr>
      <w:tblGrid>
        <w:gridCol w:w="2386"/>
        <w:gridCol w:w="146"/>
        <w:gridCol w:w="479"/>
        <w:gridCol w:w="616"/>
        <w:gridCol w:w="205"/>
        <w:gridCol w:w="180"/>
        <w:gridCol w:w="538"/>
        <w:gridCol w:w="692"/>
        <w:gridCol w:w="166"/>
        <w:gridCol w:w="146"/>
        <w:gridCol w:w="479"/>
        <w:gridCol w:w="616"/>
        <w:gridCol w:w="190"/>
        <w:gridCol w:w="167"/>
        <w:gridCol w:w="548"/>
        <w:gridCol w:w="548"/>
        <w:gridCol w:w="1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Other (income) expense, net for the three and six months ended June 30, 2026, three months ended March 31, 2026 and six months ended June 30, 2025 consisted primarily of net foreign exchange and fair value gains and losses. </w:t>
      </w:r>
    </w:p>
    <w:p>
      <w:pPr>
        <w:pStyle w:val="TextBody"/>
        <w:bidi w:val="0"/>
        <w:spacing w:before="120" w:after="240"/>
        <w:jc w:val="left"/>
        <w:rPr>
          <w:rFonts w:ascii="Times New Roman" w:hAnsi="Times New Roman"/>
          <w:color w:val="000000"/>
          <w:sz w:val="20"/>
          <w:u w:val="single"/>
        </w:rPr>
      </w:pPr>
      <w:r>
        <w:rPr>
          <w:rFonts w:ascii="Times New Roman" w:hAnsi="Times New Roman"/>
          <w:color w:val="000000"/>
          <w:sz w:val="20"/>
          <w:u w:val="single"/>
        </w:rPr>
        <w:t>Provision for Income Taxes</w:t>
      </w:r>
    </w:p>
    <w:tbl>
      <w:tblPr>
        <w:tblW w:w="8067" w:type="dxa"/>
        <w:jc w:val="left"/>
        <w:tblInd w:w="0" w:type="dxa"/>
        <w:tblLayout w:type="fixed"/>
        <w:tblCellMar>
          <w:top w:w="28" w:type="dxa"/>
          <w:left w:w="28" w:type="dxa"/>
          <w:bottom w:w="28" w:type="dxa"/>
          <w:right w:w="28" w:type="dxa"/>
        </w:tblCellMar>
      </w:tblPr>
      <w:tblGrid>
        <w:gridCol w:w="2281"/>
        <w:gridCol w:w="146"/>
        <w:gridCol w:w="439"/>
        <w:gridCol w:w="656"/>
        <w:gridCol w:w="170"/>
        <w:gridCol w:w="170"/>
        <w:gridCol w:w="493"/>
        <w:gridCol w:w="737"/>
        <w:gridCol w:w="146"/>
        <w:gridCol w:w="146"/>
        <w:gridCol w:w="438"/>
        <w:gridCol w:w="657"/>
        <w:gridCol w:w="151"/>
        <w:gridCol w:w="151"/>
        <w:gridCol w:w="438"/>
        <w:gridCol w:w="657"/>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effective tax rates for the three months ended June 30, 2026 and March 31, 2026 were 17.8% and 17.7%, respectively. The effective tax rate for both periods was lower than the U.S. statutory tax rate, mainly due to the U.S. deduction for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Foreign-Derived Deduction Eligible Income (“FDDEI”) and research and development tax credits, partially offset by foreign withholding taxes and a waiver of deductions related to U.S. base erosion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effective tax rates for the six months ended June 30, 2026 and June 30, 2025 were 17.8% and 13.0%, respectively. Our effective tax rate for the six months ended June 30, 2026 was lower than the U.S. statutory tax rate, mainly due to the U.S. deduction for FDDEI and research and development tax credits, partially offset by foreign withholding taxes and a waiver of deductions related to U.S. base erosion payments. Our effective tax rate for the six months ended June 30, 2025 was lower than the U.S. statutory tax rate mainly due to the U.S. deduction for foreign-derived intangible income and research and development tax credits, partially offset by foreign withholding taxes and a waiver of deductions related to U.S. base erosion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effective tax rate depends on various factors, including the impact of tax legislation, further interpretations and guidance from U.S. federal and state governments on the impact of proposed regulations issued by the Internal Revenue Service, as well as the geographic composition of our pre-tax income and changes in income tax reserves for unrecognized tax benefits. We monitor these factors and timely adjust our estimates of the effective tax rate accordingly. While we believe we have adequately provided for all tax positions, amounts asserted by taxing authorities could materially differ from our accrued positions as a result of uncertain and complex application of tax laws and regulations. Additionally, the recognition and measurement of certain tax benefits include estimates and judgment by management. Accordingly, we could record additional provisions or benefits for U.S. federal, state, and foreign tax matters in future periods as new information becomes available.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Organisation for Economic Co-operation and Development (“OECD”) and participating OECD member countries have issued rules introducing a 15% global minimum corporate tax rate for large multinational enterprise groups, also known as “Pillar Two.” These rules were amended in January 2026 by the OECD “Side-by-Side package” in particular to address the coexistence of U.S. minimum tax regimes and ensure that U.S. based multinational groups are not subject to both primary and secondary top-up taxes under Pillar Two. The adoption and effective dates of Pillar Two and any additional rules vary by country. However, Pillar Two has not had a material impact on our financial results for the six months ended June 30, 2026, and we do not expect Pillar Two to have a material impact on our financial results for the year ending December 31, 2026. We will continue to monitor and evaluate the impact of any developing legislation.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4, 2025, the One Big Beautiful Bill Act (“OBBBA”) was enacted into law. The OBBBA includes changes to the U.S. tax code, such as the permanent extension of certain expiring provisions of the Tax Cuts and Jobs Act, modifications to the international tax framework, and the restoration of favorable tax treatment for certain business provisions. The OBBBA has multiple effective dates, with certain provisions effective in 2025 and others implemented through 2027. These changes to the U.S. tax code have not had a material impact on our results since the enactment of OBBBA and we do not anticipate these changes to the U.S. tax code will have a material impact on our results in future periods.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jc w:val="left"/>
        <w:rPr>
          <w:rFonts w:ascii="Times New Roman" w:hAnsi="Times New Roman"/>
          <w:color w:val="000000"/>
          <w:sz w:val="20"/>
        </w:rPr>
      </w:pPr>
      <w:r>
        <w:rPr>
          <w:rFonts w:ascii="Times New Roman" w:hAnsi="Times New Roman"/>
          <w:color w:val="000000"/>
          <w:sz w:val="20"/>
        </w:rPr>
        <w:t xml:space="preserve">Cash and cash equivalents at June 30, 2026 and December 31, 2025 totaled $611 million and $675 million, respectively. The primary driver of our current and anticipated future cash flows is, and we expect will continue to be, cash generated from operations, consisting primarily of our net income, excluding non-cash charges and changes in operating assets and liabilities.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total cash and cash equivalents at June 30, 2026 consisted of $128 million held in the United States and $483 million held by our foreign subsidiaries. We believe that our current cash and cash equivalents, and available borrowing capacity, together with the cash anticipated to be generated from our operations, will be sufficient to satisfy our estimated working capital needs, planned capital expenditure requirements, payments of debt, potential settlement of convertible debt conversions and any future cash dividends declared by our Board of Directors or share repurchases through at least the next 12 months and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periods when our sales are growing, higher sales to customers will result in increased trade receivables, and inventories will generally increase as we build products for future sales. This may result in lower cash generated from operations. Conversely, in periods when our sales are declining, our trade accounts receivable and inventory balances will generally decrease, resulting in increased cash from operations.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operating activities was $296 million for the six months ended June 30, 2026 and resulted from net income of $258 million, which included non-cash charges of $189 million, mainly the result of $171 million in depreciation and amortization, partially offset by deferred income taxes of $44 million and a net increase in working capital of $151 million. The net increase in working capital was primarily due to increases in accounts receivable of $184 million as a result of higher sales and inventory of $139 million as a result of higher demand. The net increase in working capital was partially offset by an increase in accounts payable of $146 million as a result of increased demand.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was $80 million for the six months ended June 30, 2026 primarily related to capital expenditures for new facility additions in Malaysia and China.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financing activities was $285 million for the six months ended June 30, 2026, primarily due to net proceeds of €1.0 billion aggregate principal amount from the 2034 Notes, as defined and described further below, offset by the prepayment of $1.3 billion of the USD Tranche B loan using the proceeds from the 2034 Notes, together with cash on hand. Net cash used in financing activities also included additional payments of the Tranche B loans of $104 million, net payments related to employee stock awards of $42 million, payments for deferred finance costs related to the issuance of the 2034 Notes of $22 million and dividend payments of $34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25, 2011, our Board of Directors approved a share repurchase program for the repurchase of up to an aggregate of $200 million of our outstanding common stock from time to time in open market purchases, privately negotiated transactions or through other appropriate means. The timing and quantity of any shares repurchased depends upon a variety of factors, including business conditions, stock market conditions and business development activities, including, but not limited to, merger and acquisition opportunities. These repurchases may be commenced, suspended or discontinued at any time without prior notice. Any repurchased shares are held by us as authorized but unissued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we did not repurchase any shares of common stock. During the six months ended June 30, 2025, we repurchased approximately 546,000 shares of our common stock for total consideration of $45 million. We have repurchased approximately 3.1 million shares of common stock for approximately $172 million pursuant to the program since its adoption.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Holders of our common stock are entitled to receive dividends when and if they are declared by our Board of Directors. During the first and second quarters of 2026, we paid cash dividends of $0.25 per share, totaling in aggregate $34 million during the six months ended June 30, 2026. During the first and second quarters of 2025, we paid cash dividends of $0.22 per share, totaling in aggregate $30 million during the six months ended June 30, 2025.</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On August 3, 2026, our Board of Directors declared a quarterly cash dividend of $0.25 per share to be paid on September 3, 2026 to stockholders of record as of August 25, 2026. Future dividend declarations, if any, as well as the record and payment dates for such dividends, are subject to the final determination of our Board of Directors.</w:t>
      </w:r>
    </w:p>
    <w:p>
      <w:pPr>
        <w:pStyle w:val="TextBody"/>
        <w:bidi w:val="0"/>
        <w:spacing w:before="120" w:after="240"/>
        <w:jc w:val="left"/>
        <w:rPr>
          <w:rFonts w:ascii="Times New Roman" w:hAnsi="Times New Roman"/>
          <w:color w:val="000000"/>
          <w:sz w:val="20"/>
          <w:u w:val="single"/>
        </w:rPr>
      </w:pPr>
      <w:r>
        <w:rPr>
          <w:rFonts w:ascii="Times New Roman" w:hAnsi="Times New Roman"/>
          <w:color w:val="000000"/>
          <w:sz w:val="20"/>
          <w:u w:val="single"/>
        </w:rPr>
        <w:t>Credit Facilities</w:t>
      </w:r>
    </w:p>
    <w:p>
      <w:pPr>
        <w:pStyle w:val="TextBody"/>
        <w:bidi w:val="0"/>
        <w:jc w:val="left"/>
        <w:rPr>
          <w:rFonts w:ascii="Times New Roman" w:hAnsi="Times New Roman"/>
          <w:color w:val="000000"/>
          <w:sz w:val="20"/>
        </w:rPr>
      </w:pPr>
      <w:r>
        <w:rPr>
          <w:rFonts w:ascii="Times New Roman" w:hAnsi="Times New Roman"/>
          <w:color w:val="000000"/>
          <w:sz w:val="20"/>
        </w:rPr>
        <w:t>On August 17, 2022, we entered into a credit agreement with JPMorgan Chase Bank, N.A., as administrative agent and collateral agent, Barclays Bank PLC, and the lenders from time to time party thereto, which we have since amended several times, including most recently in February 2026 (as amended, the “Credit Agreement”). As of June 30, 2026, after giving effect to all amendments and repayments prior to such date, the Credit Agreement provided for (i) a senior secured term loan facility comprised of two tranches: a $812 million loan (as refinanced and otherwise modified from time to time, the “USD Tranche B”) and a €585 million loan (as refinanced and otherwise modified from time to time, the “Euro Tranche B” and together with the USD Tranche B, the “Term Loan Facility”) and (ii) a senior secured revolving credit facility with aggregate commitments of $1.0 billion (as refinanced and otherwise modified from time to time, the “Revolving Facility” and, together with the Term Loan Facility, the “Credit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borrowings under the Credit Facilities bore interest at a rate per annum equal to, at our option, any of the following, plus, in each case, an applicable margin: (a) with respect to the USD Tranche B and the Revolving Facility, (x) a base rate determined by reference to the highest of (1) the federal funds effective rate plus 0.50%, (2) the prime rate quoted in The Wall Street Journal, or (3) a forward-looking term rate based on the variable secured overnight financing rate (“Term SOFR”) for an interest period of one month, plus 1.00%, and (y) a Term SOFR rate for the interest period relevant to such borrowing; and (b) with respect to the Euro Tranche B, a Euro Interbank Offered Rate (“EURIBOR”) rate determined by reference to the costs of funds for Euro deposits for the interest period relevant to such borrowing adjusted for certain additional costs, in each case of clauses (a) and (b) above subject to a rate floor of 0.0%. As of June 30, 2026, the applicable margins for borrowings under the Credit Facilities were (i) under the USD Tranche B and the Revolving Facility, 0.75% with respect to base rate borrowings and 1.75% with respect to Term SOFR borrowings and (ii) under the Euro Tranche B, 2.00%.</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paying interest on outstanding principal under the Credit Facilities, we are required to pay a commitment fee in respect of the unutilized commitments under the Revolving Facility. The commitment fee is subject to adjustment based on our first lien net leverage ratio as of the end of the preceding fiscal quarter. As of June 30, 2026, the commitment fee was 0.25% per annum. We must also pay customary letter of credit fees and agency fees.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4, 2026, we entered into the Sixth Amendment to Credit Agreement (the “Sixth Amendment”), pursuant to which we, among other things, (i) refinanced our then-existing USD Tranche B loan and Euro Tranche B loan with the $914 million USD Tranche B loan and the €587 million Euro Tranche B loan, (ii) refinanced and increased the commitments under our then-existing Revolving Facility with the $1.0 billion Revolving Facility, (iii) decreased the applicable margin for the USD Tranche B from 2.00% to 1.75% with respect to Term SOFR borrowings and from 1.00% to 0.75% with respect to base rate borrowings, (iv) decreased the applicable margin for the Euro Tranche B from 2.50% to 2.00%, (v) decreased the applicable margin under the Revolving Facility from 2.50% to 1.75% with respect to SOFR borrowings and from 1.50% to 0.75% with respect to base rate borrowings, (vi) eliminated the credit spread adjustment applicable to SOFR borrowings of the Revolving Facility and (vii) extended the maturities of the Term Loan Facility to February 2033 and the Revolving Facility to February 2031. The refinanced USD Tranche B loan and Euro Tranche B loan were issued without original issue discount. In connection with the execution of the Sixth Amendment, we paid customary fees and expenses to JPMorgan Chase Bank, N.A.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4, 2026, concurrently with the effectiveness of the Sixth Amendment, we made a voluntary prepayment of approximately $1.3 billion principal amount to the USD Tranche B loan using the net proceeds from the 2034 Notes (as defined below), together with cash on hand, reducing the outstanding principal amount of the USD Tranche B loan from approximately $2.2 billion to $914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each of May 6, 2026 and August 4, 2026, we made a voluntary prepayment of $100 million principal amount on the USD Tranche B loan.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Credit Agreement, we are required to prepay outstanding term loans, subject to certain exceptions, with portions of our annual excess cash flow as well as with the net cash proceeds of certain of its asset sales, certain casualty and condemnation events and the incurrence or issuances of certain debt. If at any time the aggregate amount of outstanding loans, unreimbursed letter of credit drawings and undrawn letters of credit under the Revolving Facility exceeds the aggregate commitments under the Revolving Facility, we are required to repay outstanding loans and/or cash collateralize letters of credit, with no reduction of the commitment amount.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voluntarily prepay outstanding loans under the Credit Facilities from time to time, subject to certain conditions, without premium or penalty other than customary “breakage” costs with respect to Term SOFR or EURIBOR loans; provided, however, that subject to certain exceptions, if on or prior to August 4, 2026, we prepay any loans under the USD Tranche B or the Euro Tranche B in connection with a repricing transaction, we must pay a prepayment premium of 1.00% of the aggregate principal amount of the loans so prepaid. Additionally, we may voluntarily reduce the unutilized portion of the commitment amount under the Revolving Facility.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were required to make scheduled quarterly principal payments equal to $2 million with respect to the USD Tranche B and €2 million with respect to the Euro Tranche B, in each case with the balance due thereunder on the maturity date of the Term Loan Facility. There is no scheduled amortization under the Revolving Facility. Any principal amount outstanding under the Revolving Facility is due and payable in full on the maturity date of the Revolving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obligations under the Credit Facilities are guaranteed by certain of our wholly-owned domestic subsidiaries and are required to be guaranteed by certain of our future wholly-owned domestic subsidiaries, and are secured by substantially all of our assets and the assets of such subsidiaries, subject to certain exceptions and exclusions.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Credit Agreement, we have the ability to incur additional incremental debt facilities in an amount up to (x) the greater of (1) approximately $1.0 billion and (2) 75% of consolidated last 12 months earnings before interest, taxes, depreciation, and amortization, plus (y) an amount equal to the sum of all voluntary prepayments of term loans under the Term Loan Facility, plus (z) an additional unlimited amount subject to pro forma compliance with certain leverage ratio tests (based on the security and priority of such incremental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Credit Agreement contains customary representations and warranties, covenants and provisions relating to events of default. As of June 30, 2026, we were in compliance with all covenants under the Credit Agreement. The USD Tranche B and the Euro Tranche B are not subject to financial maintenance covenants.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weighted average interest rate of the Term Loan Facility was 4.75%. As of June 30, 2026, there were no borrowings under the Revolving Facility.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u w:val="single"/>
        </w:rPr>
      </w:pPr>
      <w:r>
        <w:rPr>
          <w:rFonts w:ascii="Times New Roman" w:hAnsi="Times New Roman"/>
          <w:color w:val="000000"/>
          <w:sz w:val="20"/>
          <w:u w:val="single"/>
        </w:rPr>
        <w:t>Convertible Notes</w:t>
      </w:r>
    </w:p>
    <w:p>
      <w:pPr>
        <w:pStyle w:val="TextBody"/>
        <w:bidi w:val="0"/>
        <w:jc w:val="left"/>
        <w:rPr>
          <w:rFonts w:ascii="Times New Roman" w:hAnsi="Times New Roman"/>
          <w:color w:val="000000"/>
          <w:sz w:val="20"/>
        </w:rPr>
      </w:pPr>
      <w:r>
        <w:rPr>
          <w:rFonts w:ascii="Times New Roman" w:hAnsi="Times New Roman"/>
          <w:color w:val="000000"/>
          <w:sz w:val="20"/>
        </w:rPr>
        <w:t xml:space="preserve">On May 16, 2024, we completed a private offering of $1.4 billion aggregate principal amount of convertible senior notes due 2030 (the “Convertible Notes”).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used approximately $167 million of the net proceeds from the offering to pay the cost of the capped call transactions described below. We used the remaining net proceeds from the offering to repay approximately $1.2 billion in borrowings outstanding under the USD Tranche B, together with accrued interest, as well as for general corporate purposes. </w:t>
      </w:r>
    </w:p>
    <w:p>
      <w:pPr>
        <w:pStyle w:val="TextBody"/>
        <w:bidi w:val="0"/>
        <w:spacing w:before="240" w:after="240"/>
        <w:jc w:val="left"/>
        <w:rPr>
          <w:rFonts w:ascii="Times New Roman" w:hAnsi="Times New Roman"/>
          <w:sz w:val="20"/>
        </w:rPr>
      </w:pPr>
      <w:r>
        <w:rPr>
          <w:rFonts w:ascii="Times New Roman" w:hAnsi="Times New Roman"/>
          <w:i/>
          <w:color w:val="000000"/>
          <w:sz w:val="20"/>
        </w:rPr>
        <w:t>Convertible Notes Indenture and the Convertible</w:t>
      </w:r>
      <w:r>
        <w:rPr>
          <w:rFonts w:ascii="Times New Roman" w:hAnsi="Times New Roman"/>
          <w:color w:val="000000"/>
          <w:sz w:val="20"/>
        </w:rPr>
        <w:t xml:space="preserve"> </w:t>
      </w:r>
      <w:r>
        <w:rPr>
          <w:rFonts w:ascii="Times New Roman" w:hAnsi="Times New Roman"/>
          <w:i/>
          <w:color w:val="000000"/>
          <w:sz w:val="20"/>
        </w:rPr>
        <w:t>Notes</w:t>
      </w:r>
    </w:p>
    <w:p>
      <w:pPr>
        <w:pStyle w:val="TextBody"/>
        <w:bidi w:val="0"/>
        <w:jc w:val="left"/>
        <w:rPr>
          <w:rFonts w:ascii="Times New Roman" w:hAnsi="Times New Roman"/>
          <w:color w:val="000000"/>
          <w:sz w:val="20"/>
        </w:rPr>
      </w:pPr>
      <w:r>
        <w:rPr>
          <w:rFonts w:ascii="Times New Roman" w:hAnsi="Times New Roman"/>
          <w:color w:val="000000"/>
          <w:sz w:val="20"/>
        </w:rPr>
        <w:t xml:space="preserve">On May 16, 2024, we entered into an indenture (the “Convertible Notes Indenture”) with respect to the Convertible Notes with U.S. Bank Trust Company, National Association, as trustee (the “Convertible Notes Trustee”). Under the Convertible Notes Indenture, the Convertible Notes are senior unsecured obligations of ours and bear interest at a coupon rate of 1.25% per annum, with interest payable semiannually in arrears on June 1 and December 1 of each year, beginning on December 1, 2024. The Convertible Notes will mature on June 1, 2030, unless earlier converted, redeemed or repurchased in accordance with their terms.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to certain conditions, on or after June 5, 2027, we may redeem for cash all or any portion of the Convertible Notes at a redemption price equal to 100% of the principal amount of the Convertible Notes to be redeemed, plus accrued and unpaid interest to, but excluding, the redemption date, if the last reported sale price of our common stock has been at least 130% of the conversion price then in effect for at least 20 trading days (whether or not consecutive) during the period of 30 consecutive trading days ending on, and including, the trading day immediately preceding the date the notice of redemption is sent.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conversion rate for the Convertible Notes was 6.4813 shares of our common stock per one thousand dollars principal amount of the Convertible Notes, which is equivalent to a conversion price of approximately $154.29 per share. The conversion rate is subject to adjustment upon the occurrence of certain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conversion, we will pay cash up to the aggregate principal amount of the Convertible Notes to be converted and pay or deliver, as the case may be, cash, shares of common stock or a combination of cash and shares of common stock, at our election, in respect of the remainder, if any, of our conversion obligation in excess of the aggregate principal amount of the Convertible Notes being converted. Prior to the close of business on the business day immediately preceding March 1, 2030, noteholders may convert all or any portion of their Convertible Notes under the following circumstances: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any calendar quarter (and only during such calendar quarter) commencing after the calendar quarter ended September 30, 2024, if the last reported sale price of the common stock for at least 20 trading days (whether or not consecutive) during the period of 30 consecutive trading days ending on, and including, the last trading day of the immediately preceding calendar quarter is greater than or equal to 130% of the applicable conversion price of the Convertible Notes on each applicable trading day (the “Sale Price Condition”) (approximately $200.58 per share based on the current conversion price of approximately $154.29 per share, which is subject to further adjustment upon the occurrence of certain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five business day period after any five consecutive trading day period (the “measurement period”) in which the trading price per $1,000 principal amount of Convertible Notes for each trading day of the measurement period was less than 98% of the product of the last reported sale price of our common stock and the applicable conversion rate on each such trading day;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call any or all of the Convertible Notes for redemption, at any time prior to the close of business on the second scheduled trading day immediately preceding the redemption date;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the occurrence of specified corporate events as specified in the Convertible Notes Indenture.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or after March 1, 2030, until the close of business on the second scheduled trading day immediately preceding the maturity date, noteholders may convert all or any portion of their Convertible Notes at any time.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undergo a fundamental change (as defined in the Convertible Notes Indenture) prior to the maturity date of the Convertible Notes, holders may require us to repurchase for cash all or any portion of their Convertible Notes at a fundamental change repurchase price equal to 100% of the principal amount of the Convertible Notes to be repurchased, plus any accrued and unpaid interest to, but excluding, the fundamental change repurchase date.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Convertible Notes Indenture contains customary terms and covenants, including that upon certain events of default that are occurring and continuing, either the Convertible Notes Trustee or the holders of at least 25% in aggregate principal amount of the outstanding Convertible Notes may declare 100% of the principal of, and accrued and unpaid interest, if any, on, all the Convertible Notes to be due and payable. The Convertible Notes are not subject to financial maintenance covenants.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Sale Price Condition for the Convertible Notes was met during the calendar quarter ended June 30, 2026, and as a result, the Convertible Notes are convertible, in whole or in part, at the option of the holders thereof at any time during the calendar quarter ending September 30, 2026 and have been classified as short-term debt, net of issuance costs, on the condensed consolidated balance sheet beginning at June 30, 2026. The Convertible Notes were issued at par and costs associated with the issuance of the Convertible Notes are amortized to interest expense over the contractual term of the Convertible Notes. As of June 30, 2026, $1.4 billion in aggregate principal amount of the Convertible Notes remained outstanding. As of June 30, 2026, the effective interest rate of the Convertible Notes was 1.56%.</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Capped Call Transactions</w:t>
      </w:r>
    </w:p>
    <w:p>
      <w:pPr>
        <w:pStyle w:val="TextBody"/>
        <w:bidi w:val="0"/>
        <w:jc w:val="left"/>
        <w:rPr>
          <w:rFonts w:ascii="Times New Roman" w:hAnsi="Times New Roman"/>
          <w:color w:val="000000"/>
          <w:sz w:val="20"/>
        </w:rPr>
      </w:pPr>
      <w:r>
        <w:rPr>
          <w:rFonts w:ascii="Times New Roman" w:hAnsi="Times New Roman"/>
          <w:color w:val="000000"/>
          <w:sz w:val="20"/>
        </w:rPr>
        <w:t xml:space="preserve">On May 13, 2024, in connection with the pricing of the Convertible Notes, and on May 14, 2024, in connection with the exercise in full by the initial purchasers of their option to purchase additional Convertible Notes, we entered into privately negotiated capped call transactions (“Convertible Debt Capped Calls”) with certain of the initial purchasers of the Convertible Notes or their respective affiliates and other financial institutions. The Convertible Debt Capped Calls are expected generally to reduce the potential dilution to our common stock upon conversion of any Convertible Notes and/or offset any cash payments that we are required to make in excess of the principal amount of any converted Convertible Notes, as the case may be, with such reduction and/or offset subject to a cap initially equal to $237.42 per share, which represents a premium of 100% over the last reported sale price of $118.71 per share of our common stock on The Nasdaq Global Select Market on May 13, 2024, and which is subject to adjustments under the terms of the Convertible Debt Capped Calls. </w:t>
      </w:r>
    </w:p>
    <w:p>
      <w:pPr>
        <w:pStyle w:val="TextBody"/>
        <w:bidi w:val="0"/>
        <w:spacing w:before="240" w:after="240"/>
        <w:jc w:val="left"/>
        <w:rPr>
          <w:rFonts w:ascii="Times New Roman" w:hAnsi="Times New Roman"/>
          <w:color w:val="000000"/>
          <w:sz w:val="20"/>
          <w:u w:val="single"/>
        </w:rPr>
      </w:pPr>
      <w:r>
        <w:rPr>
          <w:rFonts w:ascii="Times New Roman" w:hAnsi="Times New Roman"/>
          <w:color w:val="000000"/>
          <w:sz w:val="20"/>
          <w:u w:val="single"/>
        </w:rPr>
        <w:t>2034 Notes</w:t>
      </w:r>
    </w:p>
    <w:p>
      <w:pPr>
        <w:pStyle w:val="TextBody"/>
        <w:bidi w:val="0"/>
        <w:jc w:val="left"/>
        <w:rPr>
          <w:rFonts w:ascii="Times New Roman" w:hAnsi="Times New Roman"/>
          <w:color w:val="000000"/>
          <w:sz w:val="20"/>
        </w:rPr>
      </w:pPr>
      <w:r>
        <w:rPr>
          <w:rFonts w:ascii="Times New Roman" w:hAnsi="Times New Roman"/>
          <w:color w:val="000000"/>
          <w:sz w:val="20"/>
        </w:rPr>
        <w:t xml:space="preserve">On February 4, 2026, we completed a private offering (the “2034 Notes Offering”) of €1.0 billion aggregate principal amount of senior notes due 2034 (the “2034 Notes”). The 2034 Notes were sold in a private placement to persons reasonably believed to be qualified institutional buyers in reliance on Rule 144A under the Securities Act of 1933, as amended (the “Securities Act”), and to non-U.S. persons outside the United States in reliance on Regulation S under the Securities Act. We used the net proceeds from the 2034 Notes Offering, together with cash on hand, to prepay approximately $1.3 billion of the USD Tranche B.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2034 Notes Indenture and the 2034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4, 2026, we and the Guarantors (as defined below) entered into an indenture (the “2034 Notes Indenture”) with respect to the 2034 Notes with U.S. Bank Trust Company, National Association, as trustee (the “2034 Notes Trustee”).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2034 Notes Indenture, the 2034 Notes bear interest at a rate of 4.250% per annum, with interest payable semiannually in arrears on February 15 and August 15 of each year, beginning on August 15, 2026. The 2034 Notes will mature on February 15, 2034, unless earlier redeemed or repurchased in accordance with their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2034 Notes are unconditionally guaranteed, on a senior unsecured basis, jointly and severally, by our existing and future subsidiaries that guarantee the Credit Agreement or are required to become guarantors under certain circumstances and subject to certain exceptions (the “Guarantors”).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2034 Notes and the guarantees are general senior unsecured obligations of us and the Guarantors. The 2034 Notes and guarantees will be: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pari passu</w:t>
      </w:r>
      <w:r>
        <w:rPr>
          <w:color w:val="000000"/>
        </w:rPr>
        <w:t xml:space="preserve"> </w:t>
      </w:r>
      <w:r>
        <w:rPr>
          <w:rFonts w:ascii="Times New Roman" w:hAnsi="Times New Roman"/>
          <w:color w:val="000000"/>
          <w:sz w:val="20"/>
        </w:rPr>
        <w:t>in right of payment with any of our and the Guarantors’ existing and future unsubordinated indebtedness (including the Credit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effectively subordinated to our and the Guarantors’ existing and future secured indebtedness (including the Credit Agreement) to the extent of the value of the assets securing such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senior in right of payment to any of our and the Guarantors’ future subordinated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structurally senior to any existing and future indebtedness of us that is not guaranteed by the Guarantors (including the Convertible Notes);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structurally subordinated to any existing and future indebtedness and other liabilities of our and the Guarantors’ subsidiaries that are not and do not become Guarantors.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any time prior to February 15, 2029, we may redeem the 2034 Notes in whole or in part at a redemption price equal to 100% of their principal amount, plus a make-whole premium, plus accrued and unpaid interest, if any, and additional amounts, if any, to, but excluding, the redemption date.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At any time and from time to time on or after February 15, 2029, we may redeem for cash all or any portion of the 2034 Notes at a redemption price equal to the percentage of principal amount set forth below, plus accrued and unpaid interest, if any, and additional amounts, if any, to, but excluding, the applicable redemption date, if redeemed during the twelve-month period beginning on February 15 of the year indicated below:</w:t>
      </w:r>
    </w:p>
    <w:tbl>
      <w:tblPr>
        <w:tblW w:w="3230" w:type="dxa"/>
        <w:jc w:val="left"/>
        <w:tblInd w:w="0" w:type="dxa"/>
        <w:tblLayout w:type="fixed"/>
        <w:tblCellMar>
          <w:top w:w="28" w:type="dxa"/>
          <w:left w:w="28" w:type="dxa"/>
          <w:bottom w:w="28" w:type="dxa"/>
          <w:right w:w="28" w:type="dxa"/>
        </w:tblCellMar>
      </w:tblPr>
      <w:tblGrid>
        <w:gridCol w:w="1696"/>
        <w:gridCol w:w="146"/>
        <w:gridCol w:w="146"/>
        <w:gridCol w:w="146"/>
        <w:gridCol w:w="1096"/>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Percentage</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102.125%</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101.0625%</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 and 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100.000%</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any time and from time to time prior to February 15, 2029, we may redeem up to 40% of the original aggregate principal amount of the 2034 Notes using the net cash proceeds of certain equity offerings at a redemption price equal to 104.250%.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of certain developments affecting taxation, we may elect to redeem all, but not less than all, of the 2034 Notes at 100% of their principal amount, plus accrued and unpaid interest, if any, and additional amounts, if any, to, but excluding, the date fixed for redemption.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the occurrence of a change of control triggering event (as defined in the 2034 Notes Indenture), each holder of the 2034 Notes may require us to repurchase all or a portion of their 2034 Notes at a price equal to 101% of their principal amount plus accrued and unpaid interest, if any, and additional amounts, if any, to, but excluding, the repurchase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2034 Notes Indenture contains customary terms and covenants that limit the ability of us and our Restricted Subsidiaries (as defined in the 2034 Notes Indenture) to, among other things, (i) incur liens, (ii) provide guarantees and (iii) consolidate, merge or sell or otherwise dispose of substantially all their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2034 Notes Indenture also provides for customary events of default. Upon certain events of default that are occurring and continuing, either the 2034 Notes Trustee or the holders of at least 30% in aggregate principal amount of the outstanding 2034 Notes may declare the principal of, and accrued and unpaid interest, if any, and additional amounts, if any, on, all the 2034 Notes to be due and payable. In the event of certain insolvency and bankruptcy related events of default specified in the 2034 Notes Indenture, the principal of, and accrued and unpaid interest, if any, and additional amounts, if any, on, all the 2034 Notes shall automatically become due and payable. The 2034 Notes are not subject to financial maintenance covenants.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effective interest rate of the 2034 Notes was 4.45%.</w:t>
      </w:r>
    </w:p>
    <w:p>
      <w:pPr>
        <w:pStyle w:val="TextBody"/>
        <w:bidi w:val="0"/>
        <w:spacing w:before="240" w:after="240"/>
        <w:jc w:val="left"/>
        <w:rPr>
          <w:rFonts w:ascii="Times New Roman" w:hAnsi="Times New Roman"/>
          <w:sz w:val="20"/>
        </w:rPr>
      </w:pPr>
      <w:r>
        <w:rPr>
          <w:rFonts w:ascii="Times New Roman" w:hAnsi="Times New Roman"/>
          <w:color w:val="000000"/>
          <w:sz w:val="20"/>
          <w:u w:val="single"/>
        </w:rPr>
        <w:t>Lines of Credit and Borrowing Arrangements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Certain of our Japanese subsidiaries have lines of credit and a financing facility with various financial institutions, many of which generally expire and are renewed at three-month intervals with the remaining having no expiration date. The lines of credit and financing facility provided for aggregate borrowings of up to an equivalent of $12 million and $13 million as of June 30, 2026 and December 31, 2025, respectively. There were no borrowings outstanding under these arrangements at June 30, 2026 and December 31, 2025.</w:t>
      </w:r>
    </w:p>
    <w:p>
      <w:pPr>
        <w:pStyle w:val="TextBody"/>
        <w:bidi w:val="0"/>
        <w:spacing w:before="240" w:after="240"/>
        <w:jc w:val="left"/>
        <w:rPr>
          <w:rFonts w:ascii="Times New Roman" w:hAnsi="Times New Roman"/>
          <w:sz w:val="20"/>
        </w:rPr>
      </w:pPr>
      <w:r>
        <w:rPr>
          <w:rFonts w:ascii="Times New Roman" w:hAnsi="Times New Roman"/>
          <w:color w:val="000000"/>
          <w:sz w:val="20"/>
          <w:u w:val="single"/>
        </w:rPr>
        <w:t>Derivatives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We enter into derivative instruments for risk management purposes only, including derivatives designated as hedging instruments and those utilized as economic hedges. We operate internationally, and in the normal course of business, are exposed to fluctuations in interest rates and foreign exchange rates. These fluctuations can increase the costs of financing, investing and operating the business. We have used derivative instruments, such as foreign exchange forward contracts, options, and net investment hedges, to manage certain foreign currency exposure, and interest rate swaps and caps to manage certain interest rate exposure. We do not enter into derivative instruments for trading or speculative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By nature, all financial instruments involve market and credit risks. We enter into derivative instruments with major investment grade financial institutions and no collateral is required. We have policies to monitor the credit risk of these counterparties. While there can be no assurance, we do not anticipate any material non-performance by any of these counterparties.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u w:val="single"/>
        </w:rPr>
      </w:pPr>
      <w:r>
        <w:rPr>
          <w:rFonts w:ascii="Times New Roman" w:hAnsi="Times New Roman"/>
          <w:color w:val="000000"/>
          <w:sz w:val="20"/>
          <w:u w:val="single"/>
        </w:rPr>
        <w:t>Interest Rate Swap</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interest rate swap agreements described further in Note 5 of the condensed consolidated financial statements. These interest rate swap agreements exchange the variable Term SOFR rate to a fixed rate in order to manage the exposure to interest rate fluctuations associated with the variable Term SOFR rate paid on the outstanding balance of the Term Loan Facility.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Contractual Obligations</w:t>
      </w:r>
    </w:p>
    <w:p>
      <w:pPr>
        <w:pStyle w:val="TextBody"/>
        <w:bidi w:val="0"/>
        <w:jc w:val="left"/>
        <w:rPr>
          <w:rFonts w:ascii="Times New Roman" w:hAnsi="Times New Roman"/>
          <w:color w:val="000000"/>
          <w:sz w:val="20"/>
        </w:rPr>
      </w:pPr>
      <w:r>
        <w:rPr>
          <w:rFonts w:ascii="Times New Roman" w:hAnsi="Times New Roman"/>
          <w:color w:val="000000"/>
          <w:sz w:val="20"/>
        </w:rPr>
        <w:t xml:space="preserve">There have been no material changes outside the ordinary course of business to our contractual obligations as disclosed in our Annual Report.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jc w:val="left"/>
        <w:rPr>
          <w:rFonts w:ascii="Times New Roman" w:hAnsi="Times New Roman"/>
          <w:color w:val="000000"/>
          <w:sz w:val="20"/>
        </w:rPr>
      </w:pPr>
      <w:r>
        <w:rPr>
          <w:rFonts w:ascii="Times New Roman" w:hAnsi="Times New Roman"/>
          <w:color w:val="000000"/>
          <w:sz w:val="20"/>
        </w:rPr>
        <w:t>For information on recently issued accounting pronouncements, see Note 2 to the Notes to Unaudited Condensed Consolidated Financial Statements included in Part I, Item 1, “Notes to Unaudited Condensed Consolidated Financial Statements” of this Quarterly Report on Form 10-Q.</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bookmarkStart w:id="9" w:name="item_3_quantitative_qualitative_disclosu"/>
      <w:bookmarkEnd w:id="9"/>
      <w:r>
        <w:rPr>
          <w:rFonts w:ascii="Times New Roman" w:hAnsi="Times New Roman"/>
          <w:color w:val="000000"/>
          <w:sz w:val="20"/>
        </w:rPr>
        <w:t>ITEM 3. QUANTITATIVE AND QUALITATIVE DISCLOSURES ABOUT MARKET RISK.</w:t>
      </w:r>
    </w:p>
    <w:p>
      <w:pPr>
        <w:pStyle w:val="TextBody"/>
        <w:bidi w:val="0"/>
        <w:jc w:val="left"/>
        <w:rPr>
          <w:rFonts w:ascii="Times New Roman" w:hAnsi="Times New Roman"/>
          <w:color w:val="000000"/>
          <w:sz w:val="20"/>
        </w:rPr>
      </w:pPr>
      <w:r>
        <w:rPr>
          <w:rFonts w:ascii="Times New Roman" w:hAnsi="Times New Roman"/>
          <w:color w:val="000000"/>
          <w:sz w:val="20"/>
        </w:rPr>
        <w:t>Information concerning market risk is contained in the section entitled “Quantitative and Qualitative Disclosures About Market Risk” contained in our Annual Report on Form 10-K for the year ended December 31, 2025 filed with the U.S. Securities and Exchange Commission on February 24, 2026. As of June 30, 2026, there were no material changes in our exposure to market risk from December 31, 2025.</w:t>
      </w:r>
    </w:p>
    <w:p>
      <w:pPr>
        <w:pStyle w:val="TextBody"/>
        <w:bidi w:val="0"/>
        <w:spacing w:before="240" w:after="240"/>
        <w:jc w:val="left"/>
        <w:rPr>
          <w:rFonts w:ascii="Times New Roman" w:hAnsi="Times New Roman"/>
          <w:color w:val="000000"/>
          <w:sz w:val="20"/>
        </w:rPr>
      </w:pPr>
      <w:bookmarkStart w:id="10" w:name="item_4_controls_and_procedures"/>
      <w:bookmarkEnd w:id="10"/>
      <w:r>
        <w:rPr>
          <w:rFonts w:ascii="Times New Roman" w:hAnsi="Times New Roman"/>
          <w:color w:val="000000"/>
          <w:sz w:val="20"/>
        </w:rPr>
        <w:t>ITEM 4. CONTROLS AND PROCEDURES.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evaluated the effectiveness of our disclosure controls and procedures as of June 30, 2026. The term “disclosure controls and procedures,” as defined in Rules 13a-15(e) and 15d-15(e) under the Securities Exchange Act of 1934, as amended (the “Exchange Act”), means controls and other procedures of an issuer that are designed to ensure that information required to be disclosed by the issuer in the reports that it files or submits under the Exchange Act is recorded, processed, summarized and reported, within the time periods specified in the U.S. Securities and Exchange Commission’s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that evaluation, our Chief Executive Officer and Chief Financial Officer concluded that, as of June 30, 2026, our disclosure controls and procedures were effective to provide reasonable assurance that information required to be disclosed by us in reports that we file or submit under the Exchange Act is recorded, processed, summarized and reported within the time periods specified in U.S. Securities and Exchange Commission’s rules and forms and is accumulated and communicated to our management, including our Chief Executive Officer and Chief Financial Officer, as appropriate to allow timely decisions regarding required disclosure.</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jc w:val="left"/>
        <w:rPr>
          <w:rFonts w:ascii="Times New Roman" w:hAnsi="Times New Roman"/>
          <w:color w:val="000000"/>
          <w:sz w:val="20"/>
        </w:rPr>
      </w:pPr>
      <w:r>
        <w:rPr>
          <w:rFonts w:ascii="Times New Roman" w:hAnsi="Times New Roman"/>
          <w:color w:val="000000"/>
          <w:sz w:val="20"/>
        </w:rPr>
        <w:t>There was no change in our internal control over financial reporting (as defined in Rules 13a-15(f) and 15d-15(f) under the Exchange Act) during the quarter ended June 30, 2026 that has materially affected, or is reasonably likely to materially affect, our internal control over financial reporting.</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bookmarkStart w:id="11" w:name="part_ii_or_information"/>
      <w:bookmarkEnd w:id="11"/>
      <w:r>
        <w:rPr>
          <w:rFonts w:ascii="Times New Roman" w:hAnsi="Times New Roman"/>
          <w:color w:val="000000"/>
          <w:sz w:val="20"/>
        </w:rPr>
        <w:t>PART II. OTHER INFORMATION</w:t>
      </w:r>
    </w:p>
    <w:p>
      <w:pPr>
        <w:pStyle w:val="TextBody"/>
        <w:bidi w:val="0"/>
        <w:spacing w:before="0" w:after="240"/>
        <w:jc w:val="left"/>
        <w:rPr>
          <w:rFonts w:ascii="Times New Roman" w:hAnsi="Times New Roman"/>
          <w:color w:val="000000"/>
          <w:sz w:val="20"/>
        </w:rPr>
      </w:pPr>
      <w:bookmarkStart w:id="12" w:name="item_1a_risk_factors"/>
      <w:bookmarkEnd w:id="12"/>
      <w:r>
        <w:rPr>
          <w:rFonts w:ascii="Times New Roman" w:hAnsi="Times New Roman"/>
          <w:color w:val="000000"/>
          <w:sz w:val="20"/>
        </w:rPr>
        <w:t>ITEM 1A. RISK FACTORS.</w:t>
      </w:r>
    </w:p>
    <w:p>
      <w:pPr>
        <w:pStyle w:val="TextBody"/>
        <w:bidi w:val="0"/>
        <w:jc w:val="left"/>
        <w:rPr>
          <w:rFonts w:ascii="Times New Roman" w:hAnsi="Times New Roman"/>
          <w:sz w:val="20"/>
        </w:rPr>
      </w:pPr>
      <w:r>
        <w:rPr>
          <w:rFonts w:ascii="Times New Roman" w:hAnsi="Times New Roman"/>
          <w:color w:val="212529"/>
          <w:sz w:val="20"/>
        </w:rPr>
        <w:t xml:space="preserve">Information regarding risk factors affecting our business is discussed in the section entitled “Risk Factors” in our Annual Report </w:t>
      </w:r>
      <w:r>
        <w:rPr>
          <w:rFonts w:ascii="Times New Roman" w:hAnsi="Times New Roman"/>
          <w:color w:val="000000"/>
          <w:sz w:val="20"/>
        </w:rPr>
        <w:t>on Form 10-K for the year ended December 31, 2025 filed with the U.S. Securities and Exchange Commission on February 24, 2026.</w:t>
      </w:r>
    </w:p>
    <w:p>
      <w:pPr>
        <w:pStyle w:val="TextBody"/>
        <w:bidi w:val="0"/>
        <w:spacing w:before="240" w:after="240"/>
        <w:jc w:val="left"/>
        <w:rPr>
          <w:rFonts w:ascii="Times New Roman" w:hAnsi="Times New Roman"/>
          <w:color w:val="000000"/>
          <w:sz w:val="20"/>
        </w:rPr>
      </w:pPr>
      <w:bookmarkStart w:id="13" w:name="item_5_other_information"/>
      <w:bookmarkEnd w:id="13"/>
      <w:r>
        <w:rPr>
          <w:rFonts w:ascii="Times New Roman" w:hAnsi="Times New Roman"/>
          <w:color w:val="000000"/>
          <w:sz w:val="20"/>
        </w:rPr>
        <w:t>ITEM 5. OTHER INFORMATION.</w:t>
      </w:r>
    </w:p>
    <w:p>
      <w:pPr>
        <w:pStyle w:val="TextBody"/>
        <w:bidi w:val="0"/>
        <w:spacing w:before="0" w:after="240"/>
        <w:jc w:val="left"/>
        <w:rPr>
          <w:rFonts w:ascii="Times New Roman" w:hAnsi="Times New Roman"/>
          <w:color w:val="212529"/>
          <w:sz w:val="20"/>
        </w:rPr>
      </w:pPr>
      <w:r>
        <w:rPr>
          <w:rFonts w:ascii="Times New Roman" w:hAnsi="Times New Roman"/>
          <w:color w:val="212529"/>
          <w:sz w:val="20"/>
        </w:rPr>
        <w:t>The following table describes, for the quarterly period covered by this report, each trading arrangement for the sale or purchase of Company securities adopted or terminated by our directors and officers (as defined in Rule 16a-1(f) under the Exchange Act) that is either (1) a contract, instruction or written plan intended to satisfy the affirmative defense conditions of Rule 10b5-1(c) (a “Rule 10b5-1 trading arrangement”) or (2) a “non-Rule 10b5-1 trading arrangement” (as defined in Item 408(c) of Regulation S-K):</w:t>
      </w:r>
    </w:p>
    <w:tbl>
      <w:tblPr>
        <w:tblW w:w="10205" w:type="dxa"/>
        <w:jc w:val="left"/>
        <w:tblInd w:w="0" w:type="dxa"/>
        <w:tblLayout w:type="fixed"/>
        <w:tblCellMar>
          <w:top w:w="28" w:type="dxa"/>
          <w:left w:w="28" w:type="dxa"/>
          <w:bottom w:w="28" w:type="dxa"/>
          <w:right w:w="28" w:type="dxa"/>
        </w:tblCellMar>
      </w:tblPr>
      <w:tblGrid>
        <w:gridCol w:w="2789"/>
        <w:gridCol w:w="1063"/>
        <w:gridCol w:w="1306"/>
        <w:gridCol w:w="1285"/>
        <w:gridCol w:w="2462"/>
        <w:gridCol w:w="1300"/>
      </w:tblGrid>
      <w:tr>
        <w:trPr/>
        <w:tc>
          <w:tcPr>
            <w:tcW w:w="2789"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r>
      <w:tr>
        <w:trPr/>
        <w:tc>
          <w:tcPr>
            <w:tcW w:w="2789"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Name (Title)</w:t>
            </w:r>
          </w:p>
        </w:tc>
        <w:tc>
          <w:tcPr>
            <w:tcW w:w="1063"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Action Taken (Date of Action)</w:t>
            </w:r>
          </w:p>
        </w:tc>
        <w:tc>
          <w:tcPr>
            <w:tcW w:w="130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Type of Trading Arrangement</w:t>
            </w:r>
          </w:p>
        </w:tc>
        <w:tc>
          <w:tcPr>
            <w:tcW w:w="1285"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Nature of Trading Arrangement</w:t>
            </w:r>
          </w:p>
        </w:tc>
        <w:tc>
          <w:tcPr>
            <w:tcW w:w="2462"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Duration of Trading Arrangement</w:t>
            </w:r>
          </w:p>
        </w:tc>
        <w:tc>
          <w:tcPr>
            <w:tcW w:w="1300"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Aggregate Number of Securities</w:t>
            </w:r>
          </w:p>
        </w:tc>
      </w:tr>
      <w:tr>
        <w:trPr/>
        <w:tc>
          <w:tcPr>
            <w:tcW w:w="2789" w:type="dxa"/>
            <w:tcBorders>
              <w:left w:val="single" w:sz="4" w:space="0" w:color="000000"/>
              <w:bottom w:val="single" w:sz="4" w:space="0" w:color="000000"/>
              <w:right w:val="single" w:sz="4" w:space="0" w:color="000000"/>
            </w:tcBorders>
            <w:shd w:fill="CFF0FC" w:val="clear"/>
            <w:tcMar>
              <w:top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David P. Henry</w:t>
              <w:br/>
              <w:t>(Executive Vice President, Global Strategic Marketing, and General Manager, Materials Solutions Division)</w:t>
            </w:r>
          </w:p>
        </w:tc>
        <w:tc>
          <w:tcPr>
            <w:tcW w:w="1063"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Adoption (June 4, 2026)</w:t>
            </w:r>
          </w:p>
        </w:tc>
        <w:tc>
          <w:tcPr>
            <w:tcW w:w="130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Rule 10b5-1 trading arrangement</w:t>
            </w:r>
          </w:p>
        </w:tc>
        <w:tc>
          <w:tcPr>
            <w:tcW w:w="1285"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Sale</w:t>
            </w:r>
          </w:p>
        </w:tc>
        <w:tc>
          <w:tcPr>
            <w:tcW w:w="2462"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Until February 19, 2027, or such earlier date upon which all transactions are completed or expire without execution</w:t>
            </w:r>
          </w:p>
        </w:tc>
        <w:tc>
          <w:tcPr>
            <w:tcW w:w="1300"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Up to 4,000</w:t>
            </w:r>
            <w:r>
              <w:rPr>
                <w:rFonts w:ascii="Times New Roman" w:hAnsi="Times New Roman"/>
                <w:color w:val="000000"/>
                <w:sz w:val="20"/>
              </w:rPr>
              <w:t> </w:t>
            </w:r>
            <w:r>
              <w:rPr>
                <w:rFonts w:ascii="Times New Roman" w:hAnsi="Times New Roman"/>
                <w:color w:val="000000"/>
                <w:sz w:val="16"/>
              </w:rPr>
              <w:t>shares</w:t>
            </w:r>
          </w:p>
        </w:tc>
      </w:tr>
      <w:tr>
        <w:trPr/>
        <w:tc>
          <w:tcPr>
            <w:tcW w:w="2789"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James A. Schreiner</w:t>
            </w:r>
            <w:r>
              <w:rPr>
                <w:rFonts w:ascii="Times New Roman" w:hAnsi="Times New Roman"/>
                <w:color w:val="000000"/>
                <w:sz w:val="20"/>
              </w:rPr>
              <w:t> </w:t>
            </w:r>
            <w:r>
              <w:rPr>
                <w:rFonts w:ascii="Times New Roman" w:hAnsi="Times New Roman"/>
                <w:color w:val="000000"/>
                <w:sz w:val="16"/>
              </w:rPr>
              <w:t>(Executive Vice President and Chief Operating Officer)</w:t>
            </w:r>
          </w:p>
        </w:tc>
        <w:tc>
          <w:tcPr>
            <w:tcW w:w="106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Adoption (June 15, 2026)</w:t>
            </w:r>
          </w:p>
        </w:tc>
        <w:tc>
          <w:tcPr>
            <w:tcW w:w="130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Rule 10b5-1 trading arrangement</w:t>
            </w:r>
          </w:p>
        </w:tc>
        <w:tc>
          <w:tcPr>
            <w:tcW w:w="128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Sale</w:t>
            </w:r>
          </w:p>
        </w:tc>
        <w:tc>
          <w:tcPr>
            <w:tcW w:w="246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Until January 29, 2027, or such earlier date upon which all transactions are completed or expire without execution</w:t>
            </w:r>
          </w:p>
        </w:tc>
        <w:tc>
          <w:tcPr>
            <w:tcW w:w="130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Up to 4,000</w:t>
            </w:r>
            <w:r>
              <w:rPr>
                <w:rFonts w:ascii="Times New Roman" w:hAnsi="Times New Roman"/>
                <w:color w:val="000000"/>
                <w:sz w:val="20"/>
              </w:rPr>
              <w:t> </w:t>
            </w:r>
            <w:r>
              <w:rPr>
                <w:rFonts w:ascii="Times New Roman" w:hAnsi="Times New Roman"/>
                <w:color w:val="000000"/>
                <w:sz w:val="16"/>
              </w:rPr>
              <w:t>shares</w:t>
            </w:r>
          </w:p>
        </w:tc>
      </w:tr>
    </w:tbl>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bookmarkStart w:id="14" w:name="item_6_exhibits"/>
      <w:bookmarkEnd w:id="14"/>
      <w:r>
        <w:rPr>
          <w:rFonts w:ascii="Times New Roman" w:hAnsi="Times New Roman"/>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25"/>
        <w:gridCol w:w="866"/>
        <w:gridCol w:w="8014"/>
      </w:tblGrid>
      <w:tr>
        <w:trPr/>
        <w:tc>
          <w:tcPr>
            <w:tcW w:w="132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014" w:type="dxa"/>
            <w:tcBorders/>
            <w:vAlign w:val="center"/>
          </w:tcPr>
          <w:p>
            <w:pPr>
              <w:pStyle w:val="TableContents"/>
              <w:bidi w:val="0"/>
              <w:spacing w:before="0" w:after="283"/>
              <w:jc w:val="left"/>
              <w:rPr>
                <w:sz w:val="4"/>
                <w:szCs w:val="4"/>
              </w:rPr>
            </w:pPr>
            <w:r>
              <w:rPr>
                <w:sz w:val="4"/>
                <w:szCs w:val="4"/>
              </w:rPr>
            </w:r>
          </w:p>
        </w:tc>
      </w:tr>
      <w:tr>
        <w:trPr/>
        <w:tc>
          <w:tcPr>
            <w:tcW w:w="132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No.</w:t>
            </w:r>
          </w:p>
        </w:tc>
        <w:tc>
          <w:tcPr>
            <w:tcW w:w="8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014" w:type="dxa"/>
            <w:tcBorders>
              <w:bottom w:val="single" w:sz="4" w:space="0" w:color="000000"/>
            </w:tcBorders>
            <w:tcMar>
              <w:top w:w="0" w:type="dxa"/>
              <w:left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Exhibit Description</w:t>
            </w:r>
          </w:p>
        </w:tc>
      </w:tr>
      <w:tr>
        <w:trPr/>
        <w:tc>
          <w:tcPr>
            <w:tcW w:w="1325" w:type="dxa"/>
            <w:tcBorders/>
            <w:tcMar>
              <w:top w:w="0" w:type="dxa"/>
              <w:left w:w="0" w:type="dxa"/>
              <w:bottom w:w="0" w:type="dxa"/>
              <w:right w:w="0" w:type="dxa"/>
            </w:tcMar>
            <w:vAlign w:val="center"/>
          </w:tcPr>
          <w:p>
            <w:pPr>
              <w:pStyle w:val="TableContents"/>
              <w:bidi w:val="0"/>
              <w:spacing w:before="0" w:after="283"/>
              <w:ind w:left="0" w:right="0" w:firstLine="720"/>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25"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4"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r:id="rId2">
              <w:r>
                <w:rPr>
                  <w:rStyle w:val="InternetLink"/>
                  <w:rFonts w:ascii="Times New Roman" w:hAnsi="Times New Roman"/>
                  <w:color w:val="0000FF"/>
                  <w:sz w:val="20"/>
                  <w:u w:val="single"/>
                </w:rPr>
                <w:t>Restated Articles of Organization of the Registrant</w:t>
              </w:r>
            </w:hyperlink>
          </w:p>
        </w:tc>
      </w:tr>
      <w:tr>
        <w:trPr/>
        <w:tc>
          <w:tcPr>
            <w:tcW w:w="1325"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4"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r:id="rId3">
              <w:r>
                <w:rPr>
                  <w:rStyle w:val="InternetLink"/>
                  <w:rFonts w:ascii="Times New Roman" w:hAnsi="Times New Roman"/>
                  <w:color w:val="0000FF"/>
                  <w:sz w:val="20"/>
                  <w:u w:val="single"/>
                </w:rPr>
                <w:t>Second Amended and Restated By-Laws of the Registrant</w:t>
              </w:r>
            </w:hyperlink>
          </w:p>
        </w:tc>
      </w:tr>
      <w:tr>
        <w:trPr/>
        <w:tc>
          <w:tcPr>
            <w:tcW w:w="1325"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+3.3(1)</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4"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Amendments to Second Amended and Restated By-Laws of the Registrant</w:t>
              </w:r>
            </w:hyperlink>
          </w:p>
        </w:tc>
      </w:tr>
      <w:tr>
        <w:trPr/>
        <w:tc>
          <w:tcPr>
            <w:tcW w:w="1325"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4"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2022 Stock Incentive Plan, as amended and restated</w:t>
              </w:r>
            </w:hyperlink>
          </w:p>
        </w:tc>
      </w:tr>
      <w:tr>
        <w:trPr/>
        <w:tc>
          <w:tcPr>
            <w:tcW w:w="1325"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4"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Form of Restricted Stock Unit Agreement for Non-Employee Directors under the 2022 Stock Incentive Plan, as amended and restated</w:t>
              </w:r>
            </w:hyperlink>
          </w:p>
        </w:tc>
      </w:tr>
      <w:tr>
        <w:trPr/>
        <w:tc>
          <w:tcPr>
            <w:tcW w:w="1325"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+10.3(4)*</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4"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Form of Restricted Stock Unit Agreement for Employees under the 2022 Stock Incentive Plan, as amended and restated (Standard)</w:t>
              </w:r>
            </w:hyperlink>
          </w:p>
        </w:tc>
      </w:tr>
      <w:tr>
        <w:trPr/>
        <w:tc>
          <w:tcPr>
            <w:tcW w:w="1325"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+10.4(4)*</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4"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Form of Restricted Stock Unit Agreement for Employees under the 2022 Stock Incentive Plan, as amended and restated (rTSR)</w:t>
              </w:r>
            </w:hyperlink>
          </w:p>
        </w:tc>
      </w:tr>
      <w:tr>
        <w:trPr/>
        <w:tc>
          <w:tcPr>
            <w:tcW w:w="1325"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866"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8014"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mksi-ex10_5.htm">
              <w:r>
                <w:rPr>
                  <w:rStyle w:val="InternetLink"/>
                  <w:rFonts w:ascii="Times New Roman" w:hAnsi="Times New Roman"/>
                  <w:color w:val="0000FF"/>
                  <w:sz w:val="20"/>
                  <w:u w:val="single"/>
                </w:rPr>
                <w:t>Employment Agreement, effective May 11, 2026, between Renee Donlan and the Registrant</w:t>
              </w:r>
            </w:hyperlink>
          </w:p>
        </w:tc>
      </w:tr>
      <w:tr>
        <w:trPr/>
        <w:tc>
          <w:tcPr>
            <w:tcW w:w="1325"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2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4" w:type="dxa"/>
            <w:tcBorders/>
            <w:tcMar>
              <w:top w:w="0" w:type="dxa"/>
              <w:left w:w="0" w:type="dxa"/>
              <w:bottom w:w="0" w:type="dxa"/>
              <w:right w:w="0" w:type="dxa"/>
            </w:tcMar>
            <w:vAlign w:val="center"/>
          </w:tcPr>
          <w:p>
            <w:pPr>
              <w:pStyle w:val="TableContents"/>
              <w:bidi w:val="0"/>
              <w:spacing w:before="0" w:after="283"/>
              <w:jc w:val="left"/>
              <w:rPr/>
            </w:pPr>
            <w:hyperlink w:anchor="mksi-ex31_1.htm">
              <w:r>
                <w:rPr>
                  <w:rStyle w:val="InternetLink"/>
                  <w:rFonts w:ascii="Times New Roman" w:hAnsi="Times New Roman"/>
                  <w:color w:val="0000FF"/>
                  <w:sz w:val="20"/>
                </w:rPr>
                <w:t>Certification of Principal Executive Officer pursuant to Rule 13a-14(a)/Rule 15d-14(a) of the Securities Exchange Act of 1934, as amended</w:t>
              </w:r>
            </w:hyperlink>
          </w:p>
        </w:tc>
      </w:tr>
      <w:tr>
        <w:trPr/>
        <w:tc>
          <w:tcPr>
            <w:tcW w:w="1325"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2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4" w:type="dxa"/>
            <w:tcBorders/>
            <w:tcMar>
              <w:top w:w="0" w:type="dxa"/>
              <w:left w:w="0" w:type="dxa"/>
              <w:bottom w:w="0" w:type="dxa"/>
              <w:right w:w="0" w:type="dxa"/>
            </w:tcMar>
            <w:vAlign w:val="center"/>
          </w:tcPr>
          <w:p>
            <w:pPr>
              <w:pStyle w:val="TableContents"/>
              <w:bidi w:val="0"/>
              <w:spacing w:before="0" w:after="283"/>
              <w:jc w:val="left"/>
              <w:rPr/>
            </w:pPr>
            <w:hyperlink w:anchor="mksi-ex31_2.htm">
              <w:r>
                <w:rPr>
                  <w:rStyle w:val="InternetLink"/>
                  <w:rFonts w:ascii="Times New Roman" w:hAnsi="Times New Roman"/>
                  <w:color w:val="0000FF"/>
                  <w:sz w:val="20"/>
                </w:rPr>
                <w:t>Certification of Principal Financial Officer pursuant to Rule 13a-14(a)/Rule 15d-14(a) of the Securities Exchange Act of 1934, as amended</w:t>
              </w:r>
            </w:hyperlink>
          </w:p>
        </w:tc>
      </w:tr>
      <w:tr>
        <w:trPr/>
        <w:tc>
          <w:tcPr>
            <w:tcW w:w="1325"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2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4" w:type="dxa"/>
            <w:tcBorders/>
            <w:tcMar>
              <w:top w:w="0" w:type="dxa"/>
              <w:left w:w="0" w:type="dxa"/>
              <w:bottom w:w="0" w:type="dxa"/>
              <w:right w:w="0" w:type="dxa"/>
            </w:tcMar>
            <w:vAlign w:val="center"/>
          </w:tcPr>
          <w:p>
            <w:pPr>
              <w:pStyle w:val="TableContents"/>
              <w:bidi w:val="0"/>
              <w:spacing w:before="0" w:after="283"/>
              <w:jc w:val="left"/>
              <w:rPr/>
            </w:pPr>
            <w:hyperlink w:anchor="mksi-ex32_1.htm">
              <w:r>
                <w:rPr>
                  <w:rStyle w:val="InternetLink"/>
                  <w:rFonts w:ascii="Times New Roman" w:hAnsi="Times New Roman"/>
                  <w:color w:val="0000FF"/>
                  <w:sz w:val="20"/>
                </w:rPr>
                <w:t>Certification of Chief Executive Officer and Chief Financial Officer pursuant to 18 U.S.C. Section 1350, as adopted pursuant to Section 906 of the Sarbanes-Oxley Act of 2002</w:t>
              </w:r>
            </w:hyperlink>
          </w:p>
        </w:tc>
      </w:tr>
      <w:tr>
        <w:trPr/>
        <w:tc>
          <w:tcPr>
            <w:tcW w:w="1325"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25"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101.INS</w:t>
            </w:r>
          </w:p>
        </w:tc>
        <w:tc>
          <w:tcPr>
            <w:tcW w:w="866"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80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1325"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8014"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13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1325"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with applicable taxonomy extension information contained in Exhibits 101)</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Previously filed</w:t>
      </w:r>
    </w:p>
    <w:p>
      <w:pPr>
        <w:pStyle w:val="TextBody"/>
        <w:bidi w:val="0"/>
        <w:jc w:val="left"/>
        <w:rPr>
          <w:rFonts w:ascii="Times New Roman" w:hAnsi="Times New Roman"/>
          <w:color w:val="000000"/>
          <w:sz w:val="20"/>
        </w:rPr>
      </w:pPr>
      <w:r>
        <w:rPr>
          <w:rFonts w:ascii="Times New Roman" w:hAnsi="Times New Roman"/>
          <w:color w:val="000000"/>
          <w:sz w:val="20"/>
        </w:rPr>
        <w:t>* Management contract or compensatory plan arrangement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Incorporated by reference to the Registrant’s Current Report on Form 8-K (File No. 000-23621), filed with the U.S. Securities and Exchange Commission on May 15,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Incorporated by reference to the Registrant’s Current Report on Form 8-K (File No. 000-23621), filed with the U.S. Securities and Exchange Commission on December 3,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Incorporated by reference to the Registration Statement on Form S-8 (File No. 333-295747), filed with the Securities and Exchange Commission on May 11,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Incorporated by reference to the Registrant’s Current Report on Form 8-K (File No. 000-23621), filed with the U.S. Securities and Exchange Commission on May 12, 2026. </w:t>
      </w:r>
    </w:p>
    <w:p>
      <w:pPr>
        <w:pStyle w:val="TextBody"/>
        <w:bidi w:val="0"/>
        <w:spacing w:before="120" w:after="283"/>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bookmarkStart w:id="15" w:name="signatures"/>
      <w:bookmarkEnd w:id="15"/>
      <w:r>
        <w:rPr>
          <w:rFonts w:ascii="Times New Roman" w:hAnsi="Times New Roman"/>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6693" w:type="dxa"/>
        <w:jc w:val="left"/>
        <w:tblInd w:w="0" w:type="dxa"/>
        <w:tblLayout w:type="fixed"/>
        <w:tblCellMar>
          <w:top w:w="28" w:type="dxa"/>
          <w:left w:w="28" w:type="dxa"/>
          <w:bottom w:w="28" w:type="dxa"/>
          <w:right w:w="28" w:type="dxa"/>
        </w:tblCellMar>
      </w:tblPr>
      <w:tblGrid>
        <w:gridCol w:w="1846"/>
        <w:gridCol w:w="406"/>
        <w:gridCol w:w="4441"/>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both"/>
              <w:rPr/>
            </w:pPr>
            <w:r>
              <w:rPr/>
              <w:t> </w:t>
            </w:r>
          </w:p>
        </w:tc>
        <w:tc>
          <w:tcPr>
            <w:tcW w:w="484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MKS INC.</w:t>
            </w:r>
          </w:p>
        </w:tc>
      </w:tr>
      <w:tr>
        <w:trPr/>
        <w:tc>
          <w:tcPr>
            <w:tcW w:w="18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444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August 6, 2026</w:t>
            </w:r>
          </w:p>
        </w:tc>
        <w:tc>
          <w:tcPr>
            <w:tcW w:w="4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44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Ramakumar Mayampurath</w:t>
            </w:r>
          </w:p>
        </w:tc>
      </w:tr>
      <w:tr>
        <w:trPr/>
        <w:tc>
          <w:tcPr>
            <w:tcW w:w="2252" w:type="dxa"/>
            <w:gridSpan w:val="2"/>
            <w:tcBorders/>
            <w:tcMar>
              <w:top w:w="0" w:type="dxa"/>
              <w:left w:w="0" w:type="dxa"/>
              <w:bottom w:w="0" w:type="dxa"/>
              <w:right w:w="0" w:type="dxa"/>
            </w:tcMar>
            <w:vAlign w:val="center"/>
          </w:tcPr>
          <w:p>
            <w:pPr>
              <w:pStyle w:val="TableContents"/>
              <w:bidi w:val="0"/>
              <w:spacing w:before="0" w:after="283"/>
              <w:ind w:left="0" w:right="0" w:firstLine="720"/>
              <w:jc w:val="both"/>
              <w:rPr/>
            </w:pPr>
            <w:r>
              <w:rPr/>
              <w:t> </w:t>
            </w:r>
          </w:p>
        </w:tc>
        <w:tc>
          <w:tcPr>
            <w:tcW w:w="4441" w:type="dxa"/>
            <w:tcBorders>
              <w:top w:val="single" w:sz="4" w:space="0" w:color="000000"/>
            </w:tcBorders>
            <w:tcMar>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Ramakumar Mayampurath</w:t>
            </w:r>
          </w:p>
        </w:tc>
      </w:tr>
      <w:tr>
        <w:trPr/>
        <w:tc>
          <w:tcPr>
            <w:tcW w:w="2252"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44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Executive Vice President and Chief Financial Officer</w:t>
            </w:r>
          </w:p>
        </w:tc>
      </w:tr>
      <w:tr>
        <w:trPr/>
        <w:tc>
          <w:tcPr>
            <w:tcW w:w="2252"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44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16" w:name="mksi-ex10_5.htm"/>
      <w:bookmarkStart w:id="17" w:name="ksmksiex10_5"/>
      <w:bookmarkEnd w:id="16"/>
      <w:bookmarkEnd w:id="17"/>
      <w:r>
        <w:rPr>
          <w:rFonts w:ascii="Times New Roman" w:hAnsi="Times New Roman"/>
          <w:color w:val="000000"/>
          <w:sz w:val="20"/>
        </w:rPr>
        <w:t xml:space="preserve">EXHIBIT 10.5 </w:t>
      </w:r>
      <w:r>
        <w:br w:type="page"/>
      </w:r>
    </w:p>
    <w:p>
      <w:pPr>
        <w:pStyle w:val="TextBody"/>
        <w:bidi w:val="0"/>
        <w:spacing w:before="0" w:after="240"/>
        <w:jc w:val="center"/>
        <w:rPr>
          <w:rFonts w:ascii="Times New Roman" w:hAnsi="Times New Roman"/>
          <w:sz w:val="20"/>
        </w:rPr>
      </w:pPr>
      <w:r>
        <w:rPr>
          <w:rFonts w:ascii="Arial" w:hAnsi="Arial"/>
          <w:b/>
          <w:color w:val="000000"/>
          <w:sz w:val="24"/>
          <w:u w:val="single"/>
        </w:rPr>
        <w:t>EMPLOYMENT AGREEMENT</w:t>
        <w:br/>
      </w:r>
      <w:r>
        <w:rPr>
          <w:rFonts w:ascii="Times New Roman" w:hAnsi="Times New Roman"/>
          <w:color w:val="000000"/>
          <w:sz w:val="20"/>
          <w:u w:val="single"/>
        </w:rPr>
        <w:t> </w:t>
      </w:r>
    </w:p>
    <w:p>
      <w:pPr>
        <w:pStyle w:val="TextBody"/>
        <w:bidi w:val="0"/>
        <w:spacing w:before="0" w:after="240"/>
        <w:jc w:val="both"/>
        <w:rPr>
          <w:rFonts w:ascii="Times New Roman" w:hAnsi="Times New Roman"/>
          <w:sz w:val="20"/>
        </w:rPr>
      </w:pPr>
      <w:r>
        <w:rPr>
          <w:rFonts w:ascii="Arial" w:hAnsi="Arial"/>
          <w:color w:val="000000"/>
          <w:sz w:val="24"/>
        </w:rPr>
        <w:t>This Employment Agreement is effective the 11</w:t>
      </w:r>
      <w:r>
        <w:rPr>
          <w:rFonts w:ascii="Arial" w:hAnsi="Arial"/>
          <w:color w:val="000000"/>
          <w:sz w:val="16"/>
        </w:rPr>
        <w:t>th</w:t>
      </w:r>
      <w:r>
        <w:rPr>
          <w:rFonts w:ascii="Times New Roman" w:hAnsi="Times New Roman"/>
          <w:color w:val="000000"/>
          <w:sz w:val="20"/>
        </w:rPr>
        <w:t xml:space="preserve"> </w:t>
      </w:r>
      <w:r>
        <w:rPr>
          <w:rFonts w:ascii="Arial" w:hAnsi="Arial"/>
          <w:color w:val="000000"/>
          <w:sz w:val="24"/>
        </w:rPr>
        <w:t>day of May 2026, by and between MKS Inc., a Massachusetts corporation (“MKS” or the “Company”), and Renee Donlan of Pelham, NH (“Employee”).</w:t>
      </w:r>
    </w:p>
    <w:p>
      <w:pPr>
        <w:pStyle w:val="TextBody"/>
        <w:bidi w:val="0"/>
        <w:spacing w:before="0" w:after="240"/>
        <w:jc w:val="both"/>
        <w:rPr>
          <w:rFonts w:ascii="Times New Roman" w:hAnsi="Times New Roman"/>
          <w:sz w:val="20"/>
        </w:rPr>
      </w:pPr>
      <w:r>
        <w:rPr>
          <w:rFonts w:ascii="Arial" w:hAnsi="Arial"/>
          <w:b/>
          <w:color w:val="000000"/>
          <w:sz w:val="24"/>
        </w:rPr>
        <w:t>WHEREAS</w:t>
      </w:r>
      <w:r>
        <w:rPr>
          <w:rFonts w:ascii="Arial" w:hAnsi="Arial"/>
          <w:color w:val="000000"/>
          <w:sz w:val="24"/>
        </w:rPr>
        <w:t>, the Company and Employee entered into an Employment Agreement dated March 30, 2015 (the “Prior Employment Agreement”);</w:t>
      </w:r>
    </w:p>
    <w:p>
      <w:pPr>
        <w:pStyle w:val="TextBody"/>
        <w:bidi w:val="0"/>
        <w:spacing w:before="0" w:after="240"/>
        <w:jc w:val="both"/>
        <w:rPr>
          <w:rFonts w:ascii="Times New Roman" w:hAnsi="Times New Roman"/>
          <w:sz w:val="20"/>
        </w:rPr>
      </w:pPr>
      <w:r>
        <w:rPr>
          <w:rFonts w:ascii="Arial" w:hAnsi="Arial"/>
          <w:b/>
          <w:color w:val="000000"/>
          <w:sz w:val="24"/>
        </w:rPr>
        <w:t>WHEREAS</w:t>
      </w:r>
      <w:r>
        <w:rPr>
          <w:rFonts w:ascii="Arial" w:hAnsi="Arial"/>
          <w:color w:val="000000"/>
          <w:sz w:val="24"/>
        </w:rPr>
        <w:t>, the Company and Employee intend to amend and restate the terms of their employment relationship as more particularly set forth herein in connection with Employee’s promotion to Executive Vice President, General Counsel and Chief Compliance Officer;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b/>
          <w:color w:val="000000"/>
          <w:sz w:val="24"/>
        </w:rPr>
        <w:t>WHEREAS</w:t>
      </w:r>
      <w:r>
        <w:rPr>
          <w:rFonts w:ascii="Arial" w:hAnsi="Arial"/>
          <w:color w:val="000000"/>
          <w:sz w:val="24"/>
        </w:rPr>
        <w:t>, the Company and Employee intend that as of the Start Date (as defined below), this Employment Agreement and the Confidential Information Agreement referenced in Section 2 below shall supersede the Prior Employment Agreement and any other agreements relating to the employment relationship between the Company and Employee, including the Confidential Information, Intellectual Property and Non-Solicitation Agreement Employee entered into with MKS effective March 30, 2015 (the “Prior Confidential Information Agreement”); and</w:t>
      </w:r>
    </w:p>
    <w:p>
      <w:pPr>
        <w:pStyle w:val="TextBody"/>
        <w:bidi w:val="0"/>
        <w:spacing w:before="0" w:after="240"/>
        <w:jc w:val="both"/>
        <w:rPr>
          <w:rFonts w:ascii="Times New Roman" w:hAnsi="Times New Roman"/>
          <w:sz w:val="20"/>
        </w:rPr>
      </w:pPr>
      <w:r>
        <w:rPr>
          <w:rFonts w:ascii="Arial" w:hAnsi="Arial"/>
          <w:b/>
          <w:color w:val="000000"/>
          <w:sz w:val="24"/>
        </w:rPr>
        <w:t>NOW THEREFORE</w:t>
      </w:r>
      <w:r>
        <w:rPr>
          <w:rFonts w:ascii="Arial" w:hAnsi="Arial"/>
          <w:color w:val="000000"/>
          <w:sz w:val="24"/>
        </w:rPr>
        <w:t>, in consideration of the premises and the mutual promises contained herein, the Company and Employee hereby agree as follows:</w:t>
      </w:r>
    </w:p>
    <w:p>
      <w:pPr>
        <w:pStyle w:val="TextBody"/>
        <w:bidi w:val="0"/>
        <w:spacing w:before="0" w:after="240"/>
        <w:jc w:val="both"/>
        <w:rPr>
          <w:rFonts w:ascii="Arial" w:hAnsi="Arial"/>
          <w:b/>
          <w:color w:val="000000"/>
          <w:sz w:val="22"/>
        </w:rPr>
      </w:pPr>
      <w:r>
        <w:rPr>
          <w:rFonts w:ascii="Arial" w:hAnsi="Arial"/>
          <w:b/>
          <w:color w:val="000000"/>
          <w:sz w:val="22"/>
        </w:rPr>
        <w:t>1.</w:t>
      </w:r>
    </w:p>
    <w:p>
      <w:pPr>
        <w:pStyle w:val="TextBody"/>
        <w:bidi w:val="0"/>
        <w:spacing w:before="0" w:after="240"/>
        <w:jc w:val="both"/>
        <w:rPr/>
      </w:pPr>
      <w:r>
        <w:rPr>
          <w:rFonts w:ascii="Arial" w:hAnsi="Arial"/>
          <w:b/>
          <w:color w:val="000000"/>
          <w:sz w:val="24"/>
        </w:rPr>
        <w:t>Employment.</w:t>
      </w:r>
      <w:r>
        <w:rPr>
          <w:color w:val="000000"/>
        </w:rPr>
        <w:t xml:space="preserve"> </w:t>
      </w:r>
      <w:r>
        <w:rPr>
          <w:rFonts w:ascii="Arial" w:hAnsi="Arial"/>
          <w:color w:val="000000"/>
          <w:sz w:val="24"/>
        </w:rPr>
        <w:t xml:space="preserve">The Company is employing Employee on an at-will basis in the position of Executive Vice President, General Counsel and Chief Compliance Officer beginning June 1, 2026 (the “Start Date”). Employee’s principal place of employment shall be Andover, Massachusetts. Employee agrees to comply with the Company’s policies. </w:t>
      </w:r>
    </w:p>
    <w:p>
      <w:pPr>
        <w:pStyle w:val="TextBody"/>
        <w:bidi w:val="0"/>
        <w:spacing w:before="0" w:after="240"/>
        <w:jc w:val="both"/>
        <w:rPr>
          <w:rFonts w:ascii="Arial" w:hAnsi="Arial"/>
          <w:b/>
          <w:color w:val="000000"/>
          <w:sz w:val="22"/>
        </w:rPr>
      </w:pPr>
      <w:r>
        <w:rPr>
          <w:rFonts w:ascii="Arial" w:hAnsi="Arial"/>
          <w:b/>
          <w:color w:val="000000"/>
          <w:sz w:val="22"/>
        </w:rPr>
        <w:t>2.</w:t>
      </w:r>
    </w:p>
    <w:p>
      <w:pPr>
        <w:pStyle w:val="TextBody"/>
        <w:bidi w:val="0"/>
        <w:spacing w:before="0" w:after="240"/>
        <w:jc w:val="both"/>
        <w:rPr/>
      </w:pPr>
      <w:r>
        <w:rPr>
          <w:rFonts w:ascii="Arial" w:hAnsi="Arial"/>
          <w:b/>
          <w:color w:val="000000"/>
          <w:sz w:val="24"/>
        </w:rPr>
        <w:t>Confidential Information Agreement.</w:t>
      </w:r>
      <w:r>
        <w:rPr>
          <w:color w:val="000000"/>
        </w:rPr>
        <w:t xml:space="preserve"> </w:t>
      </w:r>
      <w:r>
        <w:rPr>
          <w:rFonts w:ascii="Arial" w:hAnsi="Arial"/>
          <w:color w:val="000000"/>
          <w:sz w:val="24"/>
        </w:rPr>
        <w:t xml:space="preserve">Employee will sign and deliver to the Company, at the same time that Employee executes this Employment Agreement, the Confidential Information, Intellectual Property and Non-Solicitation Agreement (“Confidential Information Agreement”) that is attached hereto as </w:t>
      </w:r>
      <w:r>
        <w:rPr>
          <w:rFonts w:ascii="Arial" w:hAnsi="Arial"/>
          <w:color w:val="000000"/>
          <w:sz w:val="24"/>
          <w:u w:val="single"/>
        </w:rPr>
        <w:t>Attachment A</w:t>
      </w:r>
      <w:r>
        <w:rPr>
          <w:rFonts w:ascii="Arial" w:hAnsi="Arial"/>
          <w:color w:val="000000"/>
          <w:sz w:val="24"/>
        </w:rPr>
        <w:t>.</w:t>
      </w:r>
    </w:p>
    <w:p>
      <w:pPr>
        <w:pStyle w:val="TextBody"/>
        <w:bidi w:val="0"/>
        <w:spacing w:before="0" w:after="240"/>
        <w:jc w:val="both"/>
        <w:rPr>
          <w:rFonts w:ascii="Arial" w:hAnsi="Arial"/>
          <w:b/>
          <w:color w:val="000000"/>
          <w:sz w:val="22"/>
        </w:rPr>
      </w:pPr>
      <w:r>
        <w:rPr>
          <w:rFonts w:ascii="Arial" w:hAnsi="Arial"/>
          <w:b/>
          <w:color w:val="000000"/>
          <w:sz w:val="22"/>
        </w:rPr>
        <w:t>3.</w:t>
      </w:r>
    </w:p>
    <w:p>
      <w:pPr>
        <w:pStyle w:val="TextBody"/>
        <w:bidi w:val="0"/>
        <w:spacing w:before="0" w:after="240"/>
        <w:jc w:val="both"/>
        <w:rPr/>
      </w:pPr>
      <w:r>
        <w:rPr>
          <w:rFonts w:ascii="Arial" w:hAnsi="Arial"/>
          <w:b/>
          <w:color w:val="000000"/>
          <w:sz w:val="24"/>
        </w:rPr>
        <w:t>Duty to The Company.</w:t>
      </w:r>
      <w:r>
        <w:rPr>
          <w:color w:val="000000"/>
        </w:rPr>
        <w:t xml:space="preserve"> </w:t>
      </w:r>
      <w:r>
        <w:rPr>
          <w:rFonts w:ascii="Arial" w:hAnsi="Arial"/>
          <w:color w:val="000000"/>
          <w:sz w:val="24"/>
        </w:rPr>
        <w:t>While employed by the Company, Employee: (a) will devote his or her full working time and best efforts to the business of the Company; and (b) will not (without the prior, express, written consent of the Chief Executive Officer of MKS) engage in any business activity (whether or not for gain) that interferes with Employee’s work for the Company. Notwithstanding the previous sentence, this Employment Agreement does not prohibit Employee from managing his or her personal investments or engaging in charitable and unpaid professional activities (including serving on charitable and professional boards), so long as doing so does not materially interfere with Employee’s work for the Company or violate Section 7 of this Employment Agreement.</w:t>
      </w:r>
    </w:p>
    <w:p>
      <w:pPr>
        <w:pStyle w:val="Heading1"/>
        <w:bidi w:val="0"/>
        <w:spacing w:before="0" w:after="24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Arial" w:hAnsi="Arial"/>
          <w:b/>
          <w:color w:val="000000"/>
          <w:sz w:val="22"/>
        </w:rPr>
      </w:pPr>
      <w:r>
        <w:rPr>
          <w:rFonts w:ascii="Arial" w:hAnsi="Arial"/>
          <w:b/>
          <w:color w:val="000000"/>
          <w:sz w:val="22"/>
        </w:rPr>
        <w:t>4.</w:t>
      </w:r>
    </w:p>
    <w:p>
      <w:pPr>
        <w:pStyle w:val="TextBody"/>
        <w:bidi w:val="0"/>
        <w:spacing w:before="0" w:after="240"/>
        <w:jc w:val="both"/>
        <w:rPr>
          <w:rFonts w:ascii="Arial" w:hAnsi="Arial"/>
          <w:b/>
          <w:color w:val="000000"/>
          <w:sz w:val="24"/>
        </w:rPr>
      </w:pPr>
      <w:r>
        <w:rPr>
          <w:rFonts w:ascii="Arial" w:hAnsi="Arial"/>
          <w:b/>
          <w:color w:val="000000"/>
          <w:sz w:val="24"/>
        </w:rPr>
        <w:t xml:space="preserve">Compensation. </w:t>
      </w:r>
    </w:p>
    <w:p>
      <w:pPr>
        <w:pStyle w:val="TextBody"/>
        <w:bidi w:val="0"/>
        <w:spacing w:before="0" w:after="240"/>
        <w:jc w:val="both"/>
        <w:rPr>
          <w:rFonts w:ascii="Arial" w:hAnsi="Arial"/>
          <w:color w:val="000000"/>
          <w:sz w:val="24"/>
        </w:rPr>
      </w:pPr>
      <w:r>
        <w:rPr>
          <w:rFonts w:ascii="Arial" w:hAnsi="Arial"/>
          <w:color w:val="000000"/>
          <w:sz w:val="24"/>
        </w:rPr>
        <w:t>(a)</w:t>
      </w:r>
    </w:p>
    <w:p>
      <w:pPr>
        <w:pStyle w:val="TextBody"/>
        <w:bidi w:val="0"/>
        <w:spacing w:before="0" w:after="240"/>
        <w:jc w:val="both"/>
        <w:rPr/>
      </w:pPr>
      <w:r>
        <w:rPr>
          <w:rFonts w:ascii="Arial" w:hAnsi="Arial"/>
          <w:b/>
          <w:color w:val="000000"/>
          <w:sz w:val="24"/>
        </w:rPr>
        <w:t>Base Salary.</w:t>
      </w:r>
      <w:r>
        <w:rPr>
          <w:color w:val="000000"/>
        </w:rPr>
        <w:t xml:space="preserve"> </w:t>
      </w:r>
      <w:r>
        <w:rPr>
          <w:rFonts w:ascii="Arial" w:hAnsi="Arial"/>
          <w:color w:val="000000"/>
          <w:sz w:val="24"/>
        </w:rPr>
        <w:t xml:space="preserve">Beginning on the Start Date, the Company will pay Employee base salary at the rate of $480,000 per year, less applicable withholding and deductions (the “Base Salary”), in accordance with the Company’s normal payroll practices. The Company may review and adjust the amount of the Base Salary from time to time in its sole discretion. </w:t>
      </w:r>
    </w:p>
    <w:p>
      <w:pPr>
        <w:pStyle w:val="TextBody"/>
        <w:bidi w:val="0"/>
        <w:spacing w:before="0" w:after="240"/>
        <w:jc w:val="both"/>
        <w:rPr>
          <w:rFonts w:ascii="Arial" w:hAnsi="Arial"/>
          <w:color w:val="000000"/>
          <w:sz w:val="24"/>
        </w:rPr>
      </w:pPr>
      <w:r>
        <w:rPr>
          <w:rFonts w:ascii="Arial" w:hAnsi="Arial"/>
          <w:color w:val="000000"/>
          <w:sz w:val="24"/>
        </w:rPr>
        <w:t>(b)</w:t>
      </w:r>
    </w:p>
    <w:p>
      <w:pPr>
        <w:pStyle w:val="TextBody"/>
        <w:bidi w:val="0"/>
        <w:spacing w:before="0" w:after="240"/>
        <w:jc w:val="both"/>
        <w:rPr/>
      </w:pPr>
      <w:r>
        <w:rPr>
          <w:rFonts w:ascii="Arial" w:hAnsi="Arial"/>
          <w:b/>
          <w:color w:val="000000"/>
          <w:sz w:val="24"/>
        </w:rPr>
        <w:t>Incentive Compensation Plan.</w:t>
      </w:r>
      <w:r>
        <w:rPr>
          <w:color w:val="000000"/>
        </w:rPr>
        <w:t xml:space="preserve"> </w:t>
      </w:r>
      <w:r>
        <w:rPr>
          <w:rFonts w:ascii="Arial" w:hAnsi="Arial"/>
          <w:color w:val="000000"/>
          <w:sz w:val="24"/>
        </w:rPr>
        <w:t xml:space="preserve">Employee will be entitled to participate in the Company’s Management Incentive Plan, to the extent applicable to Employee’s position. Beginning on the Start Date, Employee’s bonus target will be 70% of eligible earnings, subject to the terms and conditions of the Management Incentive Plan. Employee’s bonus for the period beginning January 1, 2026 through May 31, 2026 shall be calculated using Employee’s prior bonus target of 50% of eligible earnings in accordance with the terms of the Management Incentive Plan. The Company may review and adjust the amount of the bonus target from time to time in its sole discretion. </w:t>
      </w:r>
    </w:p>
    <w:p>
      <w:pPr>
        <w:pStyle w:val="TextBody"/>
        <w:bidi w:val="0"/>
        <w:spacing w:before="0" w:after="240"/>
        <w:jc w:val="both"/>
        <w:rPr>
          <w:rFonts w:ascii="Arial" w:hAnsi="Arial"/>
          <w:color w:val="000000"/>
          <w:sz w:val="24"/>
        </w:rPr>
      </w:pPr>
      <w:r>
        <w:rPr>
          <w:rFonts w:ascii="Arial" w:hAnsi="Arial"/>
          <w:color w:val="000000"/>
          <w:sz w:val="24"/>
        </w:rPr>
        <w:t>(c)</w:t>
      </w:r>
    </w:p>
    <w:p>
      <w:pPr>
        <w:pStyle w:val="TextBody"/>
        <w:bidi w:val="0"/>
        <w:spacing w:before="0" w:after="240"/>
        <w:jc w:val="both"/>
        <w:rPr/>
      </w:pPr>
      <w:r>
        <w:rPr>
          <w:rFonts w:ascii="Arial" w:hAnsi="Arial"/>
          <w:b/>
          <w:color w:val="000000"/>
          <w:sz w:val="24"/>
        </w:rPr>
        <w:t>Stock Incentive Plan.</w:t>
      </w:r>
      <w:r>
        <w:rPr>
          <w:color w:val="000000"/>
        </w:rPr>
        <w:t xml:space="preserve"> </w:t>
      </w:r>
      <w:r>
        <w:rPr>
          <w:rFonts w:ascii="Arial" w:hAnsi="Arial"/>
          <w:color w:val="000000"/>
          <w:sz w:val="24"/>
        </w:rPr>
        <w:t xml:space="preserve">Employee will continue to be entitled to participate in the Company’s stock incentive plan to the extent applicable to Employee’s position. Employee is eligible to receive a 2027 target equity award with a grant date value of $775,000, which will consist of 50% time-based restricted stock units and 50% performance-based restricted stock units under the relevant MKS equity plan and contingent upon MKS Compensation Committee approval. </w:t>
      </w:r>
    </w:p>
    <w:p>
      <w:pPr>
        <w:pStyle w:val="TextBody"/>
        <w:bidi w:val="0"/>
        <w:spacing w:before="0" w:after="240"/>
        <w:jc w:val="both"/>
        <w:rPr>
          <w:rFonts w:ascii="Arial" w:hAnsi="Arial"/>
          <w:color w:val="000000"/>
          <w:sz w:val="24"/>
        </w:rPr>
      </w:pPr>
      <w:r>
        <w:rPr>
          <w:rFonts w:ascii="Arial" w:hAnsi="Arial"/>
          <w:color w:val="000000"/>
          <w:sz w:val="24"/>
        </w:rPr>
        <w:t>(d)</w:t>
      </w:r>
    </w:p>
    <w:p>
      <w:pPr>
        <w:pStyle w:val="TextBody"/>
        <w:bidi w:val="0"/>
        <w:spacing w:before="0" w:after="240"/>
        <w:jc w:val="both"/>
        <w:rPr/>
      </w:pPr>
      <w:r>
        <w:rPr>
          <w:rFonts w:ascii="Arial" w:hAnsi="Arial"/>
          <w:b/>
          <w:color w:val="000000"/>
          <w:sz w:val="24"/>
        </w:rPr>
        <w:t>Promotion Equity Award.</w:t>
      </w:r>
      <w:r>
        <w:rPr>
          <w:color w:val="000000"/>
        </w:rPr>
        <w:t xml:space="preserve"> </w:t>
      </w:r>
      <w:r>
        <w:rPr>
          <w:rFonts w:ascii="Arial" w:hAnsi="Arial"/>
          <w:color w:val="000000"/>
          <w:sz w:val="24"/>
        </w:rPr>
        <w:t>Employee is also eligible to receive a promotion equity award on August 17, 2026 with a grant date value of $306,000 in the form of time-based restricted stock units (the “Promotion Award”). The Promotion Award will vest in three equal annual installments beginning on the first anniversary of the grant date subject to Employee’s continued employment and the terms and conditions of the relevant MKS equity plan and contingent upon MKS Compensation Committee approval.</w:t>
      </w:r>
    </w:p>
    <w:p>
      <w:pPr>
        <w:pStyle w:val="TextBody"/>
        <w:bidi w:val="0"/>
        <w:spacing w:before="0" w:after="240"/>
        <w:jc w:val="both"/>
        <w:rPr>
          <w:rFonts w:ascii="Arial" w:hAnsi="Arial"/>
          <w:color w:val="000000"/>
          <w:sz w:val="24"/>
        </w:rPr>
      </w:pPr>
      <w:r>
        <w:rPr>
          <w:rFonts w:ascii="Arial" w:hAnsi="Arial"/>
          <w:color w:val="000000"/>
          <w:sz w:val="24"/>
        </w:rPr>
        <w:t>(e)</w:t>
      </w:r>
    </w:p>
    <w:p>
      <w:pPr>
        <w:pStyle w:val="TextBody"/>
        <w:bidi w:val="0"/>
        <w:spacing w:before="0" w:after="240"/>
        <w:jc w:val="both"/>
        <w:rPr/>
      </w:pPr>
      <w:r>
        <w:rPr>
          <w:rFonts w:ascii="Arial" w:hAnsi="Arial"/>
          <w:b/>
          <w:color w:val="000000"/>
          <w:sz w:val="24"/>
        </w:rPr>
        <w:t>Benefits.</w:t>
      </w:r>
      <w:r>
        <w:rPr>
          <w:color w:val="000000"/>
        </w:rPr>
        <w:t xml:space="preserve"> </w:t>
      </w:r>
      <w:r>
        <w:rPr>
          <w:rFonts w:ascii="Arial" w:hAnsi="Arial"/>
          <w:color w:val="000000"/>
          <w:sz w:val="24"/>
        </w:rPr>
        <w:t xml:space="preserve">Employee will be eligible to participate in the Company’s generally available employee benefit plans, which currently include medical, dental, vision, life, accidental death and dismemberment, short-term disability and long-term disability insurance, a 401(k) savings plan and an employee stock purchase plan, subject to the terms and conditions of each plan. </w:t>
      </w:r>
    </w:p>
    <w:p>
      <w:pPr>
        <w:pStyle w:val="TextBody"/>
        <w:bidi w:val="0"/>
        <w:spacing w:before="0" w:after="240"/>
        <w:jc w:val="both"/>
        <w:rPr>
          <w:rFonts w:ascii="Arial" w:hAnsi="Arial"/>
          <w:color w:val="000000"/>
          <w:sz w:val="24"/>
        </w:rPr>
      </w:pPr>
      <w:r>
        <w:rPr>
          <w:rFonts w:ascii="Arial" w:hAnsi="Arial"/>
          <w:color w:val="000000"/>
          <w:sz w:val="24"/>
        </w:rPr>
        <w:t>(f)</w:t>
      </w:r>
    </w:p>
    <w:p>
      <w:pPr>
        <w:pStyle w:val="TextBody"/>
        <w:bidi w:val="0"/>
        <w:spacing w:before="0" w:after="240"/>
        <w:jc w:val="both"/>
        <w:rPr/>
      </w:pPr>
      <w:r>
        <w:rPr>
          <w:rFonts w:ascii="Arial" w:hAnsi="Arial"/>
          <w:b/>
          <w:color w:val="000000"/>
          <w:sz w:val="24"/>
        </w:rPr>
        <w:t xml:space="preserve">Paid Time Off. </w:t>
      </w:r>
      <w:r>
        <w:rPr>
          <w:rFonts w:ascii="Arial" w:hAnsi="Arial"/>
          <w:color w:val="000000"/>
          <w:sz w:val="24"/>
        </w:rPr>
        <w:t xml:space="preserve">Employee will be eligible for 25 days of paid vacation per year, plus paid sick time and holidays, all subject to the terms and conditions of the Company’s policies. </w:t>
      </w:r>
    </w:p>
    <w:p>
      <w:pPr>
        <w:pStyle w:val="TextBody"/>
        <w:bidi w:val="0"/>
        <w:spacing w:before="0" w:after="240"/>
        <w:jc w:val="both"/>
        <w:rPr>
          <w:rFonts w:ascii="Arial" w:hAnsi="Arial"/>
          <w:color w:val="000000"/>
          <w:sz w:val="24"/>
        </w:rPr>
      </w:pPr>
      <w:r>
        <w:rPr>
          <w:rFonts w:ascii="Arial" w:hAnsi="Arial"/>
          <w:color w:val="000000"/>
          <w:sz w:val="24"/>
        </w:rPr>
        <w:t>(g)</w:t>
      </w:r>
    </w:p>
    <w:p>
      <w:pPr>
        <w:pStyle w:val="TextBody"/>
        <w:bidi w:val="0"/>
        <w:spacing w:before="0" w:after="240"/>
        <w:jc w:val="both"/>
        <w:rPr/>
      </w:pPr>
      <w:r>
        <w:rPr>
          <w:rFonts w:ascii="Arial" w:hAnsi="Arial"/>
          <w:b/>
          <w:color w:val="000000"/>
          <w:sz w:val="24"/>
        </w:rPr>
        <w:t>Expenses.</w:t>
      </w:r>
      <w:r>
        <w:rPr>
          <w:color w:val="000000"/>
        </w:rPr>
        <w:t xml:space="preserve"> </w:t>
      </w:r>
      <w:r>
        <w:rPr>
          <w:rFonts w:ascii="Arial" w:hAnsi="Arial"/>
          <w:color w:val="000000"/>
          <w:sz w:val="24"/>
        </w:rPr>
        <w:t>The Company will reimburse Employee for expenses Employee reasonably incurs in performing his or her duties, to the extent provided in the Company’s expense reimbursement policies. Reimbursement of expenses in one tax year will not affect reimbursement of expenses in any other tax year.</w:t>
      </w:r>
    </w:p>
    <w:p>
      <w:pPr>
        <w:pStyle w:val="TextBody"/>
        <w:bidi w:val="0"/>
        <w:spacing w:before="0" w:after="240"/>
        <w:jc w:val="both"/>
        <w:rPr>
          <w:rFonts w:ascii="Arial" w:hAnsi="Arial"/>
          <w:b/>
          <w:color w:val="000000"/>
          <w:sz w:val="22"/>
        </w:rPr>
      </w:pPr>
      <w:r>
        <w:rPr>
          <w:rFonts w:ascii="Arial" w:hAnsi="Arial"/>
          <w:b/>
          <w:color w:val="000000"/>
          <w:sz w:val="22"/>
        </w:rPr>
        <w:t>5.</w:t>
      </w:r>
    </w:p>
    <w:p>
      <w:pPr>
        <w:pStyle w:val="TextBody"/>
        <w:bidi w:val="0"/>
        <w:spacing w:before="0" w:after="240"/>
        <w:jc w:val="both"/>
        <w:rPr/>
      </w:pPr>
      <w:r>
        <w:rPr>
          <w:rFonts w:ascii="Arial" w:hAnsi="Arial"/>
          <w:b/>
          <w:color w:val="000000"/>
          <w:sz w:val="24"/>
        </w:rPr>
        <w:t>End of Employment</w:t>
      </w:r>
      <w:r>
        <w:rPr>
          <w:rFonts w:ascii="Arial" w:hAnsi="Arial"/>
          <w:color w:val="000000"/>
          <w:sz w:val="24"/>
        </w:rPr>
        <w:t xml:space="preserve">. Either Employee or the Company may end the employment relationship at any time, for any reason, with or without notice or cause. The employment relationship will end automatically and immediately upon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Arial" w:hAnsi="Arial"/>
          <w:color w:val="000000"/>
          <w:sz w:val="24"/>
        </w:rPr>
        <w:t>Employee’s death or entitlement to long-term disability benefits under the Company’s long-term disability program. The date on which Employee’s employment ends, regardless of how it ends, is referred to in this Employment Agreement as the “Employment End Date.” If Employee resigns or the Company terminates Employee’s employment, the Company will (in either case) have the right at any time, for any reason in its sole discretion to decide the Employment End Date. In no event will the Company’s deciding the Employment End Date following Employee’s resignation be considered termination by the Company of Employee’s employment.</w:t>
      </w:r>
      <w:r>
        <w:rPr>
          <w:color w:val="000000"/>
        </w:rPr>
        <w:t xml:space="preserve"> </w:t>
      </w:r>
    </w:p>
    <w:p>
      <w:pPr>
        <w:pStyle w:val="TextBody"/>
        <w:bidi w:val="0"/>
        <w:spacing w:before="0" w:after="240"/>
        <w:jc w:val="both"/>
        <w:rPr>
          <w:rFonts w:ascii="Arial" w:hAnsi="Arial"/>
          <w:b/>
          <w:color w:val="000000"/>
          <w:sz w:val="22"/>
        </w:rPr>
      </w:pPr>
      <w:r>
        <w:rPr>
          <w:rFonts w:ascii="Arial" w:hAnsi="Arial"/>
          <w:b/>
          <w:color w:val="000000"/>
          <w:sz w:val="22"/>
        </w:rPr>
        <w:t>6.</w:t>
      </w:r>
    </w:p>
    <w:p>
      <w:pPr>
        <w:pStyle w:val="TextBody"/>
        <w:bidi w:val="0"/>
        <w:spacing w:before="0" w:after="240"/>
        <w:jc w:val="both"/>
        <w:rPr/>
      </w:pPr>
      <w:r>
        <w:rPr>
          <w:rFonts w:ascii="Arial" w:hAnsi="Arial"/>
          <w:b/>
          <w:color w:val="000000"/>
          <w:sz w:val="24"/>
        </w:rPr>
        <w:t xml:space="preserve">Company Obligations Upon End of Employment. </w:t>
      </w:r>
      <w:r>
        <w:rPr>
          <w:rFonts w:ascii="Arial" w:hAnsi="Arial"/>
          <w:color w:val="000000"/>
          <w:sz w:val="24"/>
        </w:rPr>
        <w:t xml:space="preserve">When the employment relationship ends, the Company will have no obligation to pay or provide Employee at any time any compensation, payment or benefit of any kind, except as expressly provided in Sections 6(a) though through 6(e) below. </w:t>
      </w:r>
    </w:p>
    <w:p>
      <w:pPr>
        <w:pStyle w:val="TextBody"/>
        <w:bidi w:val="0"/>
        <w:spacing w:before="0" w:after="240"/>
        <w:jc w:val="both"/>
        <w:rPr>
          <w:rFonts w:ascii="Arial" w:hAnsi="Arial"/>
          <w:color w:val="000000"/>
          <w:sz w:val="24"/>
        </w:rPr>
      </w:pPr>
      <w:r>
        <w:rPr>
          <w:rFonts w:ascii="Arial" w:hAnsi="Arial"/>
          <w:color w:val="000000"/>
          <w:sz w:val="24"/>
        </w:rPr>
        <w:t>(a)</w:t>
      </w:r>
    </w:p>
    <w:p>
      <w:pPr>
        <w:pStyle w:val="TextBody"/>
        <w:bidi w:val="0"/>
        <w:spacing w:before="0" w:after="240"/>
        <w:jc w:val="both"/>
        <w:rPr/>
      </w:pPr>
      <w:r>
        <w:rPr>
          <w:rFonts w:ascii="Arial" w:hAnsi="Arial"/>
          <w:b/>
          <w:color w:val="000000"/>
          <w:sz w:val="24"/>
        </w:rPr>
        <w:t>Minimum Obligations.</w:t>
      </w:r>
      <w:r>
        <w:rPr>
          <w:color w:val="000000"/>
        </w:rPr>
        <w:t xml:space="preserve"> </w:t>
      </w:r>
      <w:r>
        <w:rPr>
          <w:rFonts w:ascii="Arial" w:hAnsi="Arial"/>
          <w:color w:val="000000"/>
          <w:sz w:val="24"/>
        </w:rPr>
        <w:t xml:space="preserve">When the employment relationship ends, no matter how it ends: (i) the Company will pay Employee any unpaid Base Salary through the Employment End Date; (ii) Employee will be entitled to accrued, vested benefits under the Company’s benefit plans and programs to the extent provided in Section 4(d); (iii) the Company will pay Employee for any accrued but unused vacation; and (iv) the Company will reimburse Employee for any unreimbursed expenses incurred through the Employment End Date to the extent provided in Section 4(f). </w:t>
      </w:r>
    </w:p>
    <w:p>
      <w:pPr>
        <w:pStyle w:val="TextBody"/>
        <w:bidi w:val="0"/>
        <w:spacing w:before="0" w:after="240"/>
        <w:jc w:val="both"/>
        <w:rPr>
          <w:rFonts w:ascii="Arial" w:hAnsi="Arial"/>
          <w:color w:val="000000"/>
          <w:sz w:val="24"/>
        </w:rPr>
      </w:pPr>
      <w:r>
        <w:rPr>
          <w:rFonts w:ascii="Arial" w:hAnsi="Arial"/>
          <w:color w:val="000000"/>
          <w:sz w:val="24"/>
        </w:rPr>
        <w:t>(b)</w:t>
      </w:r>
    </w:p>
    <w:p>
      <w:pPr>
        <w:pStyle w:val="TextBody"/>
        <w:bidi w:val="0"/>
        <w:spacing w:before="0" w:after="240"/>
        <w:jc w:val="both"/>
        <w:rPr/>
      </w:pPr>
      <w:r>
        <w:rPr>
          <w:rFonts w:ascii="Arial" w:hAnsi="Arial"/>
          <w:b/>
          <w:color w:val="000000"/>
          <w:sz w:val="24"/>
        </w:rPr>
        <w:t>30 Days’ Base Salary After Certain Resignations</w:t>
      </w:r>
      <w:r>
        <w:rPr>
          <w:rFonts w:ascii="Arial" w:hAnsi="Arial"/>
          <w:color w:val="000000"/>
          <w:sz w:val="24"/>
        </w:rPr>
        <w:t xml:space="preserve">. If Employee provides the Company at least 30 days’ advance written notice of resignation of employment, is an active employee in good standing at the time of such notice and continues to perform his or her duties diligently and professionally to the extent requested thereafter, the Company will pay Employee his or her Base Salary for at least 30 days after such notice, even if the Employment End Date is earlier. </w:t>
      </w:r>
    </w:p>
    <w:p>
      <w:pPr>
        <w:pStyle w:val="TextBody"/>
        <w:bidi w:val="0"/>
        <w:spacing w:before="0" w:after="240"/>
        <w:jc w:val="both"/>
        <w:rPr>
          <w:rFonts w:ascii="Arial" w:hAnsi="Arial"/>
          <w:color w:val="000000"/>
          <w:sz w:val="24"/>
        </w:rPr>
      </w:pPr>
      <w:r>
        <w:rPr>
          <w:rFonts w:ascii="Arial" w:hAnsi="Arial"/>
          <w:color w:val="000000"/>
          <w:sz w:val="24"/>
        </w:rPr>
        <w:t>(c)</w:t>
      </w:r>
    </w:p>
    <w:p>
      <w:pPr>
        <w:pStyle w:val="TextBody"/>
        <w:bidi w:val="0"/>
        <w:spacing w:before="0" w:after="240"/>
        <w:jc w:val="both"/>
        <w:rPr/>
      </w:pPr>
      <w:r>
        <w:rPr>
          <w:rFonts w:ascii="Arial" w:hAnsi="Arial"/>
          <w:b/>
          <w:color w:val="000000"/>
          <w:sz w:val="24"/>
        </w:rPr>
        <w:t>30 Days’ Base Salary After Certain Terminations</w:t>
      </w:r>
      <w:r>
        <w:rPr>
          <w:rFonts w:ascii="Arial" w:hAnsi="Arial"/>
          <w:color w:val="000000"/>
          <w:sz w:val="24"/>
        </w:rPr>
        <w:t xml:space="preserve">. If the Company terminates Employee’s employment other than for Cause, as defined below, the Company will provide Employee with written notice of termination and pay Employee his or her Base Salary for at least 30 days after such notice of termination, even if the Employment End Date is earlier. </w:t>
      </w:r>
    </w:p>
    <w:p>
      <w:pPr>
        <w:pStyle w:val="TextBody"/>
        <w:bidi w:val="0"/>
        <w:spacing w:before="0" w:after="240"/>
        <w:jc w:val="both"/>
        <w:rPr>
          <w:rFonts w:ascii="Arial" w:hAnsi="Arial"/>
          <w:color w:val="000000"/>
          <w:sz w:val="24"/>
        </w:rPr>
      </w:pPr>
      <w:r>
        <w:rPr>
          <w:rFonts w:ascii="Arial" w:hAnsi="Arial"/>
          <w:color w:val="000000"/>
          <w:sz w:val="24"/>
        </w:rPr>
        <w:t>(d)</w:t>
      </w:r>
    </w:p>
    <w:p>
      <w:pPr>
        <w:pStyle w:val="TextBody"/>
        <w:bidi w:val="0"/>
        <w:spacing w:before="0" w:after="240"/>
        <w:jc w:val="both"/>
        <w:rPr/>
      </w:pPr>
      <w:r>
        <w:rPr>
          <w:rFonts w:ascii="Arial" w:hAnsi="Arial"/>
          <w:b/>
          <w:color w:val="000000"/>
          <w:sz w:val="24"/>
        </w:rPr>
        <w:t>Eligibility for Ordinary Severance Compensation</w:t>
      </w:r>
      <w:r>
        <w:rPr>
          <w:rFonts w:ascii="Arial" w:hAnsi="Arial"/>
          <w:color w:val="000000"/>
          <w:sz w:val="24"/>
        </w:rPr>
        <w:t xml:space="preserve">. If the Company terminates Employee’s employment, Employee will be eligible for Ordinary Severance Compensation, as described below, provided that all of the following conditions are satisfied: (i) the Company’s primary reason for terminating Employee’s employment was a change to the Company’s business needs (such as reduction in force or elimination of position) and not Cause as defined below; (ii) Employee has complied with and continues to comply with all of Employee’s obligations under this Employment Agreement and the Confidential Information Agreement; and (iii) Employee executes, provides to the Company within 45 days after the Employment End Date and does not thereafter revoke or attempt to revoke, a general release of claims, which may at the Company’s option and in the Company’s sole discretion include post-employment restrictions substantially identical to the post-employment restrictions contained in Section 7 below, all in a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Arial" w:hAnsi="Arial"/>
          <w:color w:val="000000"/>
          <w:sz w:val="24"/>
        </w:rPr>
        <w:t>form satisfactory to the Company (“General Release Agreement”). The Company’s good-faith determination that one or more of the conditions listed above has not been satisfied will be binding and conclusive.</w:t>
      </w:r>
      <w:r>
        <w:rPr>
          <w:color w:val="000000"/>
        </w:rPr>
        <w:t xml:space="preserve"> </w:t>
      </w:r>
    </w:p>
    <w:p>
      <w:pPr>
        <w:pStyle w:val="TextBody"/>
        <w:bidi w:val="0"/>
        <w:spacing w:before="0" w:after="240"/>
        <w:jc w:val="both"/>
        <w:rPr>
          <w:rFonts w:ascii="Arial" w:hAnsi="Arial"/>
          <w:color w:val="000000"/>
          <w:sz w:val="24"/>
        </w:rPr>
      </w:pPr>
      <w:r>
        <w:rPr>
          <w:rFonts w:ascii="Arial" w:hAnsi="Arial"/>
          <w:color w:val="000000"/>
          <w:sz w:val="24"/>
        </w:rPr>
        <w:t>(e)</w:t>
      </w:r>
    </w:p>
    <w:p>
      <w:pPr>
        <w:pStyle w:val="TextBody"/>
        <w:bidi w:val="0"/>
        <w:spacing w:before="0" w:after="240"/>
        <w:jc w:val="both"/>
        <w:rPr/>
      </w:pPr>
      <w:r>
        <w:rPr>
          <w:color w:val="000000"/>
        </w:rPr>
        <w:t>“</w:t>
      </w:r>
      <w:r>
        <w:rPr>
          <w:rFonts w:ascii="Arial" w:hAnsi="Arial"/>
          <w:b/>
          <w:color w:val="000000"/>
          <w:sz w:val="24"/>
        </w:rPr>
        <w:t xml:space="preserve">Ordinary Severance Compensation.” </w:t>
      </w:r>
      <w:r>
        <w:rPr>
          <w:rFonts w:ascii="Arial" w:hAnsi="Arial"/>
          <w:color w:val="000000"/>
          <w:sz w:val="24"/>
        </w:rPr>
        <w:t>If Employee becomes eligible for Ordinary Severance Compensation:</w:t>
      </w:r>
    </w:p>
    <w:p>
      <w:pPr>
        <w:pStyle w:val="TextBody"/>
        <w:bidi w:val="0"/>
        <w:spacing w:before="0" w:after="240"/>
        <w:jc w:val="both"/>
        <w:rPr>
          <w:rFonts w:ascii="Arial" w:hAnsi="Arial"/>
          <w:color w:val="000000"/>
          <w:sz w:val="24"/>
        </w:rPr>
      </w:pPr>
      <w:r>
        <w:rPr>
          <w:rFonts w:ascii="Arial" w:hAnsi="Arial"/>
          <w:color w:val="000000"/>
          <w:sz w:val="24"/>
        </w:rPr>
        <w:t>(i)</w:t>
      </w:r>
    </w:p>
    <w:p>
      <w:pPr>
        <w:pStyle w:val="TextBody"/>
        <w:bidi w:val="0"/>
        <w:spacing w:before="0" w:after="240"/>
        <w:jc w:val="both"/>
        <w:rPr/>
      </w:pPr>
      <w:r>
        <w:rPr>
          <w:rFonts w:ascii="Arial" w:hAnsi="Arial"/>
          <w:b/>
          <w:color w:val="000000"/>
          <w:sz w:val="24"/>
        </w:rPr>
        <w:t>Base Salary.</w:t>
      </w:r>
      <w:r>
        <w:rPr>
          <w:color w:val="000000"/>
        </w:rPr>
        <w:t xml:space="preserve"> </w:t>
      </w:r>
      <w:r>
        <w:rPr>
          <w:rFonts w:ascii="Arial" w:hAnsi="Arial"/>
          <w:color w:val="000000"/>
          <w:sz w:val="24"/>
        </w:rPr>
        <w:t xml:space="preserve">The Company will pay Employee, within 14 days after the General Release Agreement becomes irrevocable, a lump sum in an amount equal to 12 months of Base Salary. </w:t>
      </w:r>
    </w:p>
    <w:p>
      <w:pPr>
        <w:pStyle w:val="TextBody"/>
        <w:bidi w:val="0"/>
        <w:spacing w:before="0" w:after="240"/>
        <w:jc w:val="both"/>
        <w:rPr>
          <w:rFonts w:ascii="Arial" w:hAnsi="Arial"/>
          <w:color w:val="000000"/>
          <w:sz w:val="24"/>
        </w:rPr>
      </w:pPr>
      <w:r>
        <w:rPr>
          <w:rFonts w:ascii="Arial" w:hAnsi="Arial"/>
          <w:color w:val="000000"/>
          <w:sz w:val="24"/>
        </w:rPr>
        <w:t>(ii)</w:t>
      </w:r>
    </w:p>
    <w:p>
      <w:pPr>
        <w:pStyle w:val="TextBody"/>
        <w:bidi w:val="0"/>
        <w:spacing w:before="0" w:after="240"/>
        <w:jc w:val="both"/>
        <w:rPr/>
      </w:pPr>
      <w:r>
        <w:rPr>
          <w:rFonts w:ascii="Arial" w:hAnsi="Arial"/>
          <w:b/>
          <w:color w:val="000000"/>
          <w:sz w:val="24"/>
        </w:rPr>
        <w:t xml:space="preserve">Continuation of Benefits. </w:t>
      </w:r>
      <w:r>
        <w:rPr>
          <w:rFonts w:ascii="Arial" w:hAnsi="Arial"/>
          <w:color w:val="000000"/>
          <w:sz w:val="24"/>
        </w:rPr>
        <w:t>For a period of 12 months after the Employment End Date, to the extent Employee is eligible for and elects to continue group medical, vision, or dental insurance coverage under COBRA and timely remits the amount of premium assessed to similarly situated active employees for comparable coverage, the Company will pay the Company’s usual share of such premiums. Benefits payable under this Section 6(e)(ii) will terminate to the extent Employee ceases to be eligible for COBRA coverage under the Company’s medical benefits plan. Notwithstanding the foregoing, the Company will not pay the contribution toward COBRA coverage described above to the extent that the Company reasonably determines that doing so would subject the Company to the excise tax under Section 4980D of the Internal Revenue Code (the “Code”) (as a result of discriminatory coverage under a group health plan).</w:t>
      </w:r>
    </w:p>
    <w:p>
      <w:pPr>
        <w:pStyle w:val="TextBody"/>
        <w:bidi w:val="0"/>
        <w:spacing w:before="0" w:after="240"/>
        <w:jc w:val="both"/>
        <w:rPr>
          <w:rFonts w:ascii="Arial" w:hAnsi="Arial"/>
          <w:color w:val="000000"/>
          <w:sz w:val="24"/>
        </w:rPr>
      </w:pPr>
      <w:r>
        <w:rPr>
          <w:rFonts w:ascii="Arial" w:hAnsi="Arial"/>
          <w:color w:val="000000"/>
          <w:sz w:val="24"/>
        </w:rPr>
        <w:t>(f)</w:t>
      </w:r>
    </w:p>
    <w:p>
      <w:pPr>
        <w:pStyle w:val="TextBody"/>
        <w:bidi w:val="0"/>
        <w:spacing w:before="0" w:after="240"/>
        <w:jc w:val="both"/>
        <w:rPr/>
      </w:pPr>
      <w:r>
        <w:rPr>
          <w:rFonts w:ascii="Arial" w:hAnsi="Arial"/>
          <w:b/>
          <w:color w:val="000000"/>
          <w:sz w:val="24"/>
        </w:rPr>
        <w:t>Eligibility for Enhanced Severance Compensation.</w:t>
      </w:r>
      <w:r>
        <w:rPr>
          <w:color w:val="000000"/>
        </w:rPr>
        <w:t xml:space="preserve"> </w:t>
      </w:r>
      <w:r>
        <w:rPr>
          <w:rFonts w:ascii="Arial" w:hAnsi="Arial"/>
          <w:color w:val="000000"/>
          <w:sz w:val="24"/>
        </w:rPr>
        <w:t xml:space="preserve">Employee will become eligible for the “Enhanced Severance Compensation,” as described below, instead of Ordinary Severance Compensation under Section 6(d) and (e) above or under any other program or policy of the Company, if and only if all of the following conditions are satisfied: (i) the Company terminates Employee’s employment without “Cause” (as defined below) or Employee resigns for “Good Reason” (as defined below); (ii) the Employment End Date is within 24 months after the effective date of a Change in Control (as defined below); (iii) Employee has complied with and continues to comply with all of Employee’s obligations under this Employment Agreement and the Confidential Information Agreement; and (iv) Employee executes, provides to the Company within 45 days after the Employment End Date and does not thereafter revoke or attempt to revoke, a General Release Agreement, as defined above. The Company’s good-faith determination that one or more of the conditions listed above has not been satisfied will be binding and conclusive. </w:t>
      </w:r>
    </w:p>
    <w:p>
      <w:pPr>
        <w:pStyle w:val="TextBody"/>
        <w:bidi w:val="0"/>
        <w:spacing w:before="0" w:after="240"/>
        <w:jc w:val="both"/>
        <w:rPr>
          <w:rFonts w:ascii="Arial" w:hAnsi="Arial"/>
          <w:color w:val="000000"/>
          <w:sz w:val="24"/>
        </w:rPr>
      </w:pPr>
      <w:r>
        <w:rPr>
          <w:rFonts w:ascii="Arial" w:hAnsi="Arial"/>
          <w:color w:val="000000"/>
          <w:sz w:val="24"/>
        </w:rPr>
        <w:t>(g)</w:t>
      </w:r>
    </w:p>
    <w:p>
      <w:pPr>
        <w:pStyle w:val="TextBody"/>
        <w:bidi w:val="0"/>
        <w:spacing w:before="0" w:after="240"/>
        <w:jc w:val="both"/>
        <w:rPr/>
      </w:pPr>
      <w:r>
        <w:rPr>
          <w:color w:val="000000"/>
        </w:rPr>
        <w:t>“</w:t>
      </w:r>
      <w:r>
        <w:rPr>
          <w:rFonts w:ascii="Arial" w:hAnsi="Arial"/>
          <w:b/>
          <w:color w:val="000000"/>
          <w:sz w:val="24"/>
        </w:rPr>
        <w:t>Enhanced Severance Compensation.”</w:t>
      </w:r>
      <w:r>
        <w:rPr>
          <w:color w:val="000000"/>
        </w:rPr>
        <w:t xml:space="preserve"> </w:t>
      </w:r>
      <w:r>
        <w:rPr>
          <w:rFonts w:ascii="Arial" w:hAnsi="Arial"/>
          <w:color w:val="000000"/>
          <w:sz w:val="24"/>
        </w:rPr>
        <w:t xml:space="preserve">If Employee becomes eligible for the Enhanced Severance Compensation: </w:t>
      </w:r>
    </w:p>
    <w:p>
      <w:pPr>
        <w:pStyle w:val="Heading2"/>
        <w:bidi w:val="0"/>
        <w:spacing w:before="0" w:after="240"/>
        <w:jc w:val="both"/>
        <w:rPr>
          <w:rFonts w:ascii="Times New Roman" w:hAnsi="Times New Roman"/>
          <w:sz w:val="20"/>
        </w:rPr>
      </w:pPr>
      <w:r>
        <w:rPr>
          <w:rFonts w:ascii="Arial" w:hAnsi="Arial"/>
          <w:b w:val="false"/>
          <w:color w:val="000000"/>
          <w:sz w:val="24"/>
        </w:rPr>
        <w:t xml:space="preserve">(i) </w:t>
      </w:r>
      <w:r>
        <w:rPr>
          <w:rFonts w:ascii="Arial" w:hAnsi="Arial"/>
          <w:color w:val="000000"/>
          <w:sz w:val="24"/>
        </w:rPr>
        <w:t>Base Salary.</w:t>
      </w:r>
      <w:r>
        <w:rPr>
          <w:rFonts w:ascii="Times New Roman" w:hAnsi="Times New Roman"/>
          <w:color w:val="000000"/>
          <w:sz w:val="20"/>
        </w:rPr>
        <w:t xml:space="preserve"> </w:t>
      </w:r>
      <w:r>
        <w:rPr>
          <w:rFonts w:ascii="Arial" w:hAnsi="Arial"/>
          <w:b w:val="false"/>
          <w:color w:val="000000"/>
          <w:sz w:val="24"/>
        </w:rPr>
        <w:t>The Company will pay Employee, within 14 days after the General Release Agreement becomes irrevocable, a lump sum in an amount equal to one and one-half times annual Base Salary (determined without regard to any reduction in Base Salary giving rise to “Good Reason,” as defined below).</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Heading2"/>
        <w:bidi w:val="0"/>
        <w:spacing w:before="0" w:after="240"/>
        <w:jc w:val="both"/>
        <w:rPr>
          <w:rFonts w:ascii="Times New Roman" w:hAnsi="Times New Roman"/>
          <w:sz w:val="20"/>
        </w:rPr>
      </w:pPr>
      <w:r>
        <w:rPr>
          <w:rFonts w:ascii="Arial" w:hAnsi="Arial"/>
          <w:b w:val="false"/>
          <w:color w:val="000000"/>
          <w:sz w:val="24"/>
        </w:rPr>
        <w:t xml:space="preserve">(ii) </w:t>
      </w:r>
      <w:r>
        <w:rPr>
          <w:rFonts w:ascii="Arial" w:hAnsi="Arial"/>
          <w:color w:val="000000"/>
          <w:sz w:val="24"/>
        </w:rPr>
        <w:t>Incentive Compensation.</w:t>
      </w:r>
      <w:r>
        <w:rPr>
          <w:rFonts w:ascii="Times New Roman" w:hAnsi="Times New Roman"/>
          <w:color w:val="000000"/>
          <w:sz w:val="20"/>
        </w:rPr>
        <w:t xml:space="preserve"> </w:t>
      </w:r>
      <w:r>
        <w:rPr>
          <w:rFonts w:ascii="Arial" w:hAnsi="Arial"/>
          <w:b w:val="false"/>
          <w:color w:val="000000"/>
          <w:sz w:val="24"/>
        </w:rPr>
        <w:t>The Company will pay Employee, within 14 days after the General Release Agreement becomes irrevocable, a lump sum equal to one and one-half times the annual amount of incentive compensation for which Employee was eligible under any Incentive Compensation Plan of the Company then in effect for the year containing the Employment End Date. Additionally, Employee will receive a payment for target bonus, prorated for the current year.</w:t>
      </w:r>
    </w:p>
    <w:p>
      <w:pPr>
        <w:pStyle w:val="Heading2"/>
        <w:bidi w:val="0"/>
        <w:spacing w:before="0" w:after="240"/>
        <w:jc w:val="both"/>
        <w:rPr>
          <w:rFonts w:ascii="Times New Roman" w:hAnsi="Times New Roman"/>
          <w:sz w:val="20"/>
        </w:rPr>
      </w:pPr>
      <w:r>
        <w:rPr>
          <w:rFonts w:ascii="Arial" w:hAnsi="Arial"/>
          <w:b w:val="false"/>
          <w:color w:val="000000"/>
          <w:sz w:val="24"/>
        </w:rPr>
        <w:t xml:space="preserve">(iii) </w:t>
      </w:r>
      <w:r>
        <w:rPr>
          <w:rFonts w:ascii="Arial" w:hAnsi="Arial"/>
          <w:color w:val="000000"/>
          <w:sz w:val="24"/>
        </w:rPr>
        <w:t>Continuation of Benefits.</w:t>
      </w:r>
      <w:r>
        <w:rPr>
          <w:rFonts w:ascii="Times New Roman" w:hAnsi="Times New Roman"/>
          <w:color w:val="000000"/>
          <w:sz w:val="20"/>
        </w:rPr>
        <w:t xml:space="preserve"> </w:t>
      </w:r>
      <w:r>
        <w:rPr>
          <w:rFonts w:ascii="Arial" w:hAnsi="Arial"/>
          <w:b w:val="false"/>
          <w:color w:val="000000"/>
          <w:sz w:val="24"/>
        </w:rPr>
        <w:t>For a period of 18 months after the Employment End Date, to the extent Employee is eligible for and elects to continue group medical, vision, or dental insurance coverage under COBRA and timely remits the amount of premium assessed to similarly situated active employees for comparable coverage, the Company will pay the Company’s usual share of such premiums. Benefits payable under this Section 6(g)(iii) will terminate to the extent Employee ceases to be eligible for COBRA coverage under the Company’s medical benefits plan. Notwithstanding the foregoing, the Company will not pay the contribution toward COBRA coverage described above to the extent that the Company reasonably determines that doing so would subject the Company to the excise tax under Section 4980D of the Internal Revenue Code (the “Code”) (as a result of discriminatory coverage under a group health plan).</w:t>
      </w:r>
    </w:p>
    <w:p>
      <w:pPr>
        <w:pStyle w:val="Heading2"/>
        <w:bidi w:val="0"/>
        <w:spacing w:before="0" w:after="240"/>
        <w:jc w:val="both"/>
        <w:rPr>
          <w:rFonts w:ascii="Times New Roman" w:hAnsi="Times New Roman"/>
          <w:sz w:val="20"/>
        </w:rPr>
      </w:pPr>
      <w:r>
        <w:rPr>
          <w:rFonts w:ascii="Arial" w:hAnsi="Arial"/>
          <w:b w:val="false"/>
          <w:color w:val="000000"/>
          <w:sz w:val="24"/>
        </w:rPr>
        <w:t xml:space="preserve">(iv) </w:t>
      </w:r>
      <w:r>
        <w:rPr>
          <w:rFonts w:ascii="Arial" w:hAnsi="Arial"/>
          <w:color w:val="000000"/>
          <w:sz w:val="24"/>
        </w:rPr>
        <w:t xml:space="preserve">Restricted Stock Units or Stock Appreciation Rights. </w:t>
      </w:r>
      <w:r>
        <w:rPr>
          <w:rFonts w:ascii="Arial" w:hAnsi="Arial"/>
          <w:b w:val="false"/>
          <w:color w:val="000000"/>
          <w:sz w:val="24"/>
        </w:rPr>
        <w:t>Employee's unvested equity awards as of the Employment End Date will be subject to accelerated vesting to the extent provided in the respective equity award agreement issued to Employee under the then effective MKS Inc. equity incentive plan (including the MKS Inc. 2022 Stock Incentive Plan).</w:t>
      </w:r>
    </w:p>
    <w:p>
      <w:pPr>
        <w:pStyle w:val="TextBody"/>
        <w:bidi w:val="0"/>
        <w:spacing w:before="0" w:after="240"/>
        <w:jc w:val="both"/>
        <w:rPr>
          <w:rFonts w:ascii="Arial" w:hAnsi="Arial"/>
          <w:color w:val="000000"/>
          <w:sz w:val="24"/>
        </w:rPr>
      </w:pPr>
      <w:r>
        <w:rPr>
          <w:rFonts w:ascii="Arial" w:hAnsi="Arial"/>
          <w:color w:val="000000"/>
          <w:sz w:val="24"/>
        </w:rPr>
        <w:t>(h)</w:t>
      </w:r>
    </w:p>
    <w:p>
      <w:pPr>
        <w:pStyle w:val="TextBody"/>
        <w:bidi w:val="0"/>
        <w:spacing w:before="0" w:after="240"/>
        <w:jc w:val="both"/>
        <w:rPr/>
      </w:pPr>
      <w:r>
        <w:rPr>
          <w:rFonts w:ascii="Arial" w:hAnsi="Arial"/>
          <w:b/>
          <w:color w:val="000000"/>
          <w:sz w:val="24"/>
        </w:rPr>
        <w:t xml:space="preserve">No Obligation to Mitigate Damages; Effect on Other Contractual Rights. </w:t>
      </w:r>
      <w:r>
        <w:rPr>
          <w:rFonts w:ascii="Arial" w:hAnsi="Arial"/>
          <w:color w:val="000000"/>
          <w:sz w:val="24"/>
        </w:rPr>
        <w:t>Employee will not be required to mitigate damages, by seeking other employment or otherwise, as a condition of receiving any portion of the Ordinary Severance Compensation or the Enhanced Severance Compensation. Nor will the Ordinary Severance Compensation or the Enhanced Severance Compensation be reduced by any compensation earned by Employee as the result of employment by an employer other than the Company or a direct or indirect parent, subsidiary or affiliate of the Company after the Employment End Date. Nothing in this Section 6(h) is intended to or shall delay, prevent or require any compensation for any termination of COBRA benefits that may occur pursuant to Section 6(e)(ii) or Section 6(g)(iii) above.</w:t>
      </w:r>
    </w:p>
    <w:p>
      <w:pPr>
        <w:pStyle w:val="TextBody"/>
        <w:bidi w:val="0"/>
        <w:spacing w:before="0" w:after="240"/>
        <w:jc w:val="both"/>
        <w:rPr>
          <w:rFonts w:ascii="Arial" w:hAnsi="Arial"/>
          <w:color w:val="000000"/>
          <w:sz w:val="24"/>
        </w:rPr>
      </w:pPr>
      <w:r>
        <w:rPr>
          <w:rFonts w:ascii="Arial" w:hAnsi="Arial"/>
          <w:color w:val="000000"/>
          <w:sz w:val="24"/>
        </w:rPr>
        <w:t>(i)</w:t>
      </w:r>
    </w:p>
    <w:p>
      <w:pPr>
        <w:pStyle w:val="TextBody"/>
        <w:bidi w:val="0"/>
        <w:spacing w:before="0" w:after="240"/>
        <w:jc w:val="both"/>
        <w:rPr/>
      </w:pPr>
      <w:r>
        <w:rPr>
          <w:color w:val="000000"/>
        </w:rPr>
        <w:t>“</w:t>
      </w:r>
      <w:r>
        <w:rPr>
          <w:rFonts w:ascii="Arial" w:hAnsi="Arial"/>
          <w:b/>
          <w:color w:val="000000"/>
          <w:sz w:val="24"/>
        </w:rPr>
        <w:t>Cause.”</w:t>
      </w:r>
      <w:r>
        <w:rPr>
          <w:color w:val="000000"/>
        </w:rPr>
        <w:t xml:space="preserve"> “</w:t>
      </w:r>
      <w:r>
        <w:rPr>
          <w:rFonts w:ascii="Arial" w:hAnsi="Arial"/>
          <w:color w:val="000000"/>
          <w:sz w:val="24"/>
        </w:rPr>
        <w:t xml:space="preserve">Cause” to terminate Employee’s employment will exist if Employee: </w:t>
      </w:r>
    </w:p>
    <w:p>
      <w:pPr>
        <w:pStyle w:val="Heading2"/>
        <w:bidi w:val="0"/>
        <w:spacing w:before="0" w:after="240"/>
        <w:jc w:val="both"/>
        <w:rPr>
          <w:rFonts w:ascii="Times New Roman" w:hAnsi="Times New Roman"/>
          <w:sz w:val="20"/>
        </w:rPr>
      </w:pPr>
      <w:r>
        <w:rPr>
          <w:rFonts w:ascii="Arial" w:hAnsi="Arial"/>
          <w:b w:val="false"/>
          <w:color w:val="000000"/>
          <w:sz w:val="24"/>
        </w:rPr>
        <w:t>(i) commits a felony or engages in fraud, misappropriation or embezzlement;</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Arial" w:hAnsi="Arial"/>
          <w:b w:val="false"/>
          <w:color w:val="000000"/>
          <w:sz w:val="24"/>
        </w:rPr>
        <w:t>(ii) knowingly fails or refuses to perform Employee’s duties in a material way and, to the extent that the Company determines such failure or refusal can reasonably be cured, fails or refuses to effect a cure within 10 days after the Company notifies Employee in writing of the failure or refusal;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Heading2"/>
        <w:bidi w:val="0"/>
        <w:spacing w:before="0" w:after="240"/>
        <w:jc w:val="both"/>
        <w:rPr>
          <w:rFonts w:ascii="Arial" w:hAnsi="Arial"/>
          <w:b w:val="false"/>
          <w:color w:val="000000"/>
          <w:sz w:val="24"/>
        </w:rPr>
      </w:pPr>
      <w:r>
        <w:rPr>
          <w:rFonts w:ascii="Arial" w:hAnsi="Arial"/>
          <w:b w:val="false"/>
          <w:color w:val="000000"/>
          <w:sz w:val="24"/>
        </w:rPr>
        <w:t>(iii) knowingly causes, or knowingly creates a serious risk of causing, material harm to the Company’s business or reputation; or</w:t>
      </w:r>
    </w:p>
    <w:p>
      <w:pPr>
        <w:pStyle w:val="Heading2"/>
        <w:bidi w:val="0"/>
        <w:spacing w:before="0" w:after="240"/>
        <w:jc w:val="both"/>
        <w:rPr>
          <w:rFonts w:ascii="Arial" w:hAnsi="Arial"/>
          <w:b w:val="false"/>
          <w:color w:val="000000"/>
          <w:sz w:val="24"/>
        </w:rPr>
      </w:pPr>
      <w:r>
        <w:rPr>
          <w:rFonts w:ascii="Arial" w:hAnsi="Arial"/>
          <w:b w:val="false"/>
          <w:color w:val="000000"/>
          <w:sz w:val="24"/>
        </w:rPr>
        <w:t>(iv) breaches, in a material way, this Employment Agreement, the Confidential Information Agreement or any other agreement between Employee and the Company, and, to the extent that the Company determines such breach can reasonably be cured, fails or refuses to effect a cure within 10 days after the Company notifies Employee in writing of the breach.</w:t>
      </w:r>
    </w:p>
    <w:p>
      <w:pPr>
        <w:pStyle w:val="TextBody"/>
        <w:bidi w:val="0"/>
        <w:spacing w:before="0" w:after="240"/>
        <w:jc w:val="both"/>
        <w:rPr>
          <w:rFonts w:ascii="Arial" w:hAnsi="Arial"/>
          <w:color w:val="000000"/>
          <w:sz w:val="24"/>
        </w:rPr>
      </w:pPr>
      <w:r>
        <w:rPr>
          <w:rFonts w:ascii="Arial" w:hAnsi="Arial"/>
          <w:color w:val="000000"/>
          <w:sz w:val="24"/>
        </w:rPr>
        <w:t>(j)</w:t>
      </w:r>
    </w:p>
    <w:p>
      <w:pPr>
        <w:pStyle w:val="TextBody"/>
        <w:bidi w:val="0"/>
        <w:spacing w:before="0" w:after="240"/>
        <w:jc w:val="both"/>
        <w:rPr/>
      </w:pPr>
      <w:r>
        <w:rPr>
          <w:color w:val="000000"/>
        </w:rPr>
        <w:t>“</w:t>
      </w:r>
      <w:r>
        <w:rPr>
          <w:rFonts w:ascii="Arial" w:hAnsi="Arial"/>
          <w:b/>
          <w:color w:val="000000"/>
          <w:sz w:val="24"/>
        </w:rPr>
        <w:t>Good Reason.”</w:t>
      </w:r>
      <w:r>
        <w:rPr>
          <w:color w:val="000000"/>
        </w:rPr>
        <w:t xml:space="preserve"> “</w:t>
      </w:r>
      <w:r>
        <w:rPr>
          <w:rFonts w:ascii="Arial" w:hAnsi="Arial"/>
          <w:color w:val="000000"/>
          <w:sz w:val="24"/>
        </w:rPr>
        <w:t>Good Reason” for Employee to resign will exist if, without Employee’s express written consent:</w:t>
      </w:r>
    </w:p>
    <w:p>
      <w:pPr>
        <w:pStyle w:val="Heading2"/>
        <w:bidi w:val="0"/>
        <w:spacing w:before="0" w:after="240"/>
        <w:jc w:val="both"/>
        <w:rPr>
          <w:rFonts w:ascii="Arial" w:hAnsi="Arial"/>
          <w:b w:val="false"/>
          <w:color w:val="000000"/>
          <w:sz w:val="24"/>
        </w:rPr>
      </w:pPr>
      <w:r>
        <w:rPr>
          <w:rFonts w:ascii="Arial" w:hAnsi="Arial"/>
          <w:b w:val="false"/>
          <w:color w:val="000000"/>
          <w:sz w:val="24"/>
        </w:rPr>
        <w:t>(i) the Company materially reduces Employee’s position, duties or responsibilities;</w:t>
      </w:r>
    </w:p>
    <w:p>
      <w:pPr>
        <w:pStyle w:val="Heading2"/>
        <w:bidi w:val="0"/>
        <w:spacing w:before="0" w:after="240"/>
        <w:jc w:val="both"/>
        <w:rPr>
          <w:rFonts w:ascii="Arial" w:hAnsi="Arial"/>
          <w:b w:val="false"/>
          <w:color w:val="000000"/>
          <w:sz w:val="24"/>
        </w:rPr>
      </w:pPr>
      <w:r>
        <w:rPr>
          <w:rFonts w:ascii="Arial" w:hAnsi="Arial"/>
          <w:b w:val="false"/>
          <w:color w:val="000000"/>
          <w:sz w:val="24"/>
        </w:rPr>
        <w:t>(ii) the Company reduces Employee’s Base Salary as in effect on the date hereof or as the same may be increased from time to time during the term of this Employment Agreement;</w:t>
      </w:r>
    </w:p>
    <w:p>
      <w:pPr>
        <w:pStyle w:val="Heading2"/>
        <w:bidi w:val="0"/>
        <w:spacing w:before="0" w:after="240"/>
        <w:jc w:val="both"/>
        <w:rPr>
          <w:rFonts w:ascii="Arial" w:hAnsi="Arial"/>
          <w:b w:val="false"/>
          <w:color w:val="000000"/>
          <w:sz w:val="24"/>
        </w:rPr>
      </w:pPr>
      <w:r>
        <w:rPr>
          <w:rFonts w:ascii="Arial" w:hAnsi="Arial"/>
          <w:b w:val="false"/>
          <w:color w:val="000000"/>
          <w:sz w:val="24"/>
        </w:rPr>
        <w:t>(iii) the Company changes Employee’s principal place of work to a location more than 50 miles from Employee’s current principal place of work.</w:t>
      </w:r>
    </w:p>
    <w:p>
      <w:pPr>
        <w:pStyle w:val="TextBody"/>
        <w:bidi w:val="0"/>
        <w:spacing w:before="0" w:after="240"/>
        <w:jc w:val="both"/>
        <w:rPr>
          <w:rFonts w:ascii="Times New Roman" w:hAnsi="Times New Roman"/>
          <w:sz w:val="20"/>
        </w:rPr>
      </w:pPr>
      <w:r>
        <w:rPr>
          <w:rFonts w:ascii="Arial" w:hAnsi="Arial"/>
          <w:color w:val="000000"/>
          <w:sz w:val="24"/>
        </w:rPr>
        <w:t>Notwithstanding the foregoing, an action described above will not constitute Good Reason unless: (A) Employee, within 30 days after the he or she learns, or with reasonable diligence should have learned, of such action, delivers to the Company written notice identifying the action as Good Reason and demanding its correction; (B) the Company fails to correct such event within 30 days after receipt of such notice; and (C) Employee resigns for Good Reason within 90 days after the date Employee learned, or with reasonable diligence should have learned, of such action.</w:t>
      </w:r>
      <w:r>
        <w:rPr>
          <w:rFonts w:ascii="Times New Roman" w:hAnsi="Times New Roman"/>
          <w:color w:val="000000"/>
          <w:sz w:val="20"/>
        </w:rPr>
        <w:t xml:space="preserve"> </w:t>
      </w:r>
    </w:p>
    <w:p>
      <w:pPr>
        <w:pStyle w:val="TextBody"/>
        <w:bidi w:val="0"/>
        <w:spacing w:before="0" w:after="240"/>
        <w:jc w:val="both"/>
        <w:rPr>
          <w:rFonts w:ascii="Arial" w:hAnsi="Arial"/>
          <w:color w:val="000000"/>
          <w:sz w:val="24"/>
        </w:rPr>
      </w:pPr>
      <w:r>
        <w:rPr>
          <w:rFonts w:ascii="Arial" w:hAnsi="Arial"/>
          <w:color w:val="000000"/>
          <w:sz w:val="24"/>
        </w:rPr>
        <w:t>(k)</w:t>
      </w:r>
    </w:p>
    <w:p>
      <w:pPr>
        <w:pStyle w:val="TextBody"/>
        <w:bidi w:val="0"/>
        <w:spacing w:before="0" w:after="240"/>
        <w:jc w:val="both"/>
        <w:rPr/>
      </w:pPr>
      <w:r>
        <w:rPr>
          <w:color w:val="000000"/>
        </w:rPr>
        <w:t>“</w:t>
      </w:r>
      <w:r>
        <w:rPr>
          <w:rFonts w:ascii="Arial" w:hAnsi="Arial"/>
          <w:b/>
          <w:color w:val="000000"/>
          <w:sz w:val="24"/>
        </w:rPr>
        <w:t xml:space="preserve">Change in Control.” </w:t>
      </w:r>
      <w:r>
        <w:rPr>
          <w:rFonts w:ascii="Arial" w:hAnsi="Arial"/>
          <w:color w:val="000000"/>
          <w:sz w:val="24"/>
        </w:rPr>
        <w:t xml:space="preserve">For purposes of this Employment Agreement, the term “Change in Control” will mean the first to occur of any of the following events: (i) any “person” (as that term is used in Section 13 and 14(d)(2) of the Securities Exchange Act of 1934 (“Exchange Act”)) becomes the beneficial owner (as that term is used in Section 13(d) of the Exchange Act), directly or indirectly, of fifty percent (50%) or more of MKS’ capital stock entitled to vote in the election of directors; (ii) the shareholders of MKS approve any consolidation or merger of MKS other than a consolidation or merger of MKS in which the holders of the common stock of MKS immediately prior to the consolidation or merger hold more than fifty percent (50%) of the common stock of the surviving corporation immediately after the consolidation or merger; or (iii) the shareholders of MKS approve the sale or transfer of all or substantially all of the assets of MKS to parties that are not within a “controlled group of corporations” (as defined in Code Section 1563) in which MKS is a member.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spacing w:before="0" w:after="240"/>
        <w:jc w:val="both"/>
        <w:rPr>
          <w:rFonts w:ascii="Arial" w:hAnsi="Arial"/>
          <w:b/>
          <w:color w:val="000000"/>
          <w:sz w:val="22"/>
        </w:rPr>
      </w:pPr>
      <w:r>
        <w:rPr>
          <w:rFonts w:ascii="Arial" w:hAnsi="Arial"/>
          <w:b/>
          <w:color w:val="000000"/>
          <w:sz w:val="22"/>
        </w:rPr>
        <w:t>7.</w:t>
      </w:r>
    </w:p>
    <w:p>
      <w:pPr>
        <w:pStyle w:val="TextBody"/>
        <w:bidi w:val="0"/>
        <w:spacing w:before="0" w:after="240"/>
        <w:jc w:val="both"/>
        <w:rPr/>
      </w:pPr>
      <w:r>
        <w:rPr>
          <w:rFonts w:ascii="Arial" w:hAnsi="Arial"/>
          <w:b/>
          <w:color w:val="000000"/>
          <w:sz w:val="24"/>
        </w:rPr>
        <w:t>Non-Competition</w:t>
      </w:r>
      <w:r>
        <w:rPr>
          <w:rFonts w:ascii="Arial" w:hAnsi="Arial"/>
          <w:color w:val="000000"/>
          <w:sz w:val="24"/>
        </w:rPr>
        <w:t xml:space="preserve">. </w:t>
      </w:r>
    </w:p>
    <w:p>
      <w:pPr>
        <w:pStyle w:val="TextBody"/>
        <w:bidi w:val="0"/>
        <w:spacing w:before="0" w:after="240"/>
        <w:jc w:val="both"/>
        <w:rPr>
          <w:rFonts w:ascii="Arial" w:hAnsi="Arial"/>
          <w:color w:val="000000"/>
          <w:sz w:val="24"/>
        </w:rPr>
      </w:pPr>
      <w:r>
        <w:rPr>
          <w:rFonts w:ascii="Arial" w:hAnsi="Arial"/>
          <w:color w:val="000000"/>
          <w:sz w:val="24"/>
        </w:rPr>
        <w:t>(a)</w:t>
      </w:r>
    </w:p>
    <w:p>
      <w:pPr>
        <w:pStyle w:val="TextBody"/>
        <w:bidi w:val="0"/>
        <w:spacing w:before="0" w:after="240"/>
        <w:jc w:val="both"/>
        <w:rPr>
          <w:rFonts w:ascii="Arial" w:hAnsi="Arial"/>
          <w:color w:val="000000"/>
          <w:sz w:val="24"/>
        </w:rPr>
      </w:pPr>
      <w:r>
        <w:rPr>
          <w:rFonts w:ascii="Arial" w:hAnsi="Arial"/>
          <w:color w:val="000000"/>
          <w:sz w:val="24"/>
        </w:rPr>
        <w:t xml:space="preserve">During Employee’s MKS Employment (as defined below) and for 12 months immediately thereafter (together, the “Non-Compete Period”), Employee will not engage in or otherwise carry on, directly or indirectly anywhere in the world (as principal, agent, employee, employer, investor, shareholder (except for holdings of no greater than 1% of the total outstanding shares in a publicly-traded company), consultant, partner, member, manager, financier or in any other individual or representative capacity of any kind whatsoever), any Competitive Activity (as defined below). </w:t>
      </w:r>
    </w:p>
    <w:p>
      <w:pPr>
        <w:pStyle w:val="TextBody"/>
        <w:bidi w:val="0"/>
        <w:spacing w:before="0" w:after="240"/>
        <w:jc w:val="both"/>
        <w:rPr>
          <w:rFonts w:ascii="Arial" w:hAnsi="Arial"/>
          <w:color w:val="000000"/>
          <w:sz w:val="24"/>
        </w:rPr>
      </w:pPr>
      <w:r>
        <w:rPr>
          <w:rFonts w:ascii="Arial" w:hAnsi="Arial"/>
          <w:color w:val="000000"/>
          <w:sz w:val="24"/>
        </w:rPr>
        <w:t>(b)</w:t>
      </w:r>
    </w:p>
    <w:p>
      <w:pPr>
        <w:pStyle w:val="TextBody"/>
        <w:bidi w:val="0"/>
        <w:spacing w:before="0" w:after="240"/>
        <w:jc w:val="both"/>
        <w:rPr>
          <w:color w:val="000000"/>
        </w:rPr>
      </w:pPr>
      <w:r>
        <w:rPr>
          <w:color w:val="000000"/>
        </w:rPr>
        <w:t>“</w:t>
      </w:r>
      <w:r>
        <w:rPr>
          <w:rFonts w:ascii="Arial" w:hAnsi="Arial"/>
          <w:color w:val="000000"/>
          <w:sz w:val="24"/>
        </w:rPr>
        <w:t xml:space="preserve">MKS Employment” means the period beginning on the first day that Employee is employed by the Company and ending on the first day on which Employee is no longer employed by any MKS Entity (as defined below). </w:t>
      </w:r>
    </w:p>
    <w:p>
      <w:pPr>
        <w:pStyle w:val="TextBody"/>
        <w:bidi w:val="0"/>
        <w:spacing w:before="0" w:after="240"/>
        <w:jc w:val="both"/>
        <w:rPr>
          <w:rFonts w:ascii="Arial" w:hAnsi="Arial"/>
          <w:color w:val="000000"/>
          <w:sz w:val="24"/>
        </w:rPr>
      </w:pPr>
      <w:r>
        <w:rPr>
          <w:rFonts w:ascii="Arial" w:hAnsi="Arial"/>
          <w:color w:val="000000"/>
          <w:sz w:val="24"/>
        </w:rPr>
        <w:t>(c)</w:t>
      </w:r>
    </w:p>
    <w:p>
      <w:pPr>
        <w:pStyle w:val="TextBody"/>
        <w:bidi w:val="0"/>
        <w:spacing w:before="0" w:after="240"/>
        <w:jc w:val="both"/>
        <w:rPr>
          <w:color w:val="000000"/>
        </w:rPr>
      </w:pPr>
      <w:r>
        <w:rPr>
          <w:color w:val="000000"/>
        </w:rPr>
        <w:t>“</w:t>
      </w:r>
      <w:r>
        <w:rPr>
          <w:rFonts w:ascii="Arial" w:hAnsi="Arial"/>
          <w:color w:val="000000"/>
          <w:sz w:val="24"/>
        </w:rPr>
        <w:t xml:space="preserve">MKS Entity” means (i) the Company; (ii) any current or future parent, subsidiary or affiliate of the Company; or (iii) any successor or assign of (i) or (ii). </w:t>
      </w:r>
    </w:p>
    <w:p>
      <w:pPr>
        <w:pStyle w:val="TextBody"/>
        <w:bidi w:val="0"/>
        <w:spacing w:before="0" w:after="240"/>
        <w:jc w:val="both"/>
        <w:rPr>
          <w:rFonts w:ascii="Arial" w:hAnsi="Arial"/>
          <w:color w:val="000000"/>
          <w:sz w:val="24"/>
        </w:rPr>
      </w:pPr>
      <w:r>
        <w:rPr>
          <w:rFonts w:ascii="Arial" w:hAnsi="Arial"/>
          <w:color w:val="000000"/>
          <w:sz w:val="24"/>
        </w:rPr>
        <w:t>(d)</w:t>
      </w:r>
    </w:p>
    <w:p>
      <w:pPr>
        <w:pStyle w:val="TextBody"/>
        <w:bidi w:val="0"/>
        <w:spacing w:before="0" w:after="240"/>
        <w:jc w:val="both"/>
        <w:rPr>
          <w:color w:val="000000"/>
        </w:rPr>
      </w:pPr>
      <w:r>
        <w:rPr>
          <w:color w:val="000000"/>
        </w:rPr>
        <w:t>“</w:t>
      </w:r>
      <w:r>
        <w:rPr>
          <w:rFonts w:ascii="Arial" w:hAnsi="Arial"/>
          <w:color w:val="000000"/>
          <w:sz w:val="24"/>
        </w:rPr>
        <w:t xml:space="preserve">Competitive Activity” means business or activity competitive with an MKS Entity but only to the extent that business or activity is related to, similar to, or competitive with the activities of the business unit(s), division(s), laborator(y)(ies), facilit(y)(ies) and other operational unit(s) in or for which Employee performed work for an MKS Entity or about which Employee acquired Proprietary Information (as defined in the Confidential Information Agreement). </w:t>
      </w:r>
    </w:p>
    <w:p>
      <w:pPr>
        <w:pStyle w:val="TextBody"/>
        <w:bidi w:val="0"/>
        <w:spacing w:before="0" w:after="240"/>
        <w:jc w:val="both"/>
        <w:rPr>
          <w:rFonts w:ascii="Arial" w:hAnsi="Arial"/>
          <w:color w:val="000000"/>
          <w:sz w:val="24"/>
        </w:rPr>
      </w:pPr>
      <w:r>
        <w:rPr>
          <w:rFonts w:ascii="Arial" w:hAnsi="Arial"/>
          <w:color w:val="000000"/>
          <w:sz w:val="24"/>
        </w:rPr>
        <w:t>(e)</w:t>
      </w:r>
    </w:p>
    <w:p>
      <w:pPr>
        <w:pStyle w:val="TextBody"/>
        <w:bidi w:val="0"/>
        <w:spacing w:before="0" w:after="240"/>
        <w:jc w:val="both"/>
        <w:rPr>
          <w:rFonts w:ascii="Arial" w:hAnsi="Arial"/>
          <w:color w:val="000000"/>
          <w:sz w:val="24"/>
        </w:rPr>
      </w:pPr>
      <w:r>
        <w:rPr>
          <w:rFonts w:ascii="Arial" w:hAnsi="Arial"/>
          <w:color w:val="000000"/>
          <w:sz w:val="24"/>
        </w:rPr>
        <w:t xml:space="preserve">The post-employment Non-Compete Period shall be extended to two (2) years upon Employee’s breach of his/her fiduciary duty and/or unlawful taking, physically or electronically, of property belonging to the Company. </w:t>
      </w:r>
    </w:p>
    <w:p>
      <w:pPr>
        <w:pStyle w:val="TextBody"/>
        <w:bidi w:val="0"/>
        <w:spacing w:before="0" w:after="240"/>
        <w:jc w:val="both"/>
        <w:rPr>
          <w:rFonts w:ascii="Arial" w:hAnsi="Arial"/>
          <w:color w:val="000000"/>
          <w:sz w:val="24"/>
        </w:rPr>
      </w:pPr>
      <w:r>
        <w:rPr>
          <w:rFonts w:ascii="Arial" w:hAnsi="Arial"/>
          <w:color w:val="000000"/>
          <w:sz w:val="24"/>
        </w:rPr>
        <w:t>(f)</w:t>
      </w:r>
    </w:p>
    <w:p>
      <w:pPr>
        <w:pStyle w:val="TextBody"/>
        <w:bidi w:val="0"/>
        <w:spacing w:before="0" w:after="240"/>
        <w:jc w:val="both"/>
        <w:rPr>
          <w:rFonts w:ascii="Arial" w:hAnsi="Arial"/>
          <w:color w:val="000000"/>
          <w:sz w:val="24"/>
        </w:rPr>
      </w:pPr>
      <w:r>
        <w:rPr>
          <w:rFonts w:ascii="Arial" w:hAnsi="Arial"/>
          <w:color w:val="000000"/>
          <w:sz w:val="24"/>
        </w:rPr>
        <w:t>If any court of competent jurisdiction determines that this Section 7 is unenforceable because the Non-Compete Period is too long or because Competitive Activity includes too great a range of activities or too wide a geographic scope, the parties agree that this Section 7 should be interpreted to extend only over the maximum period of time or range of activities or geographic scope as to which it may be enforceable.</w:t>
      </w:r>
    </w:p>
    <w:p>
      <w:pPr>
        <w:pStyle w:val="TextBody"/>
        <w:bidi w:val="0"/>
        <w:spacing w:before="0" w:after="240"/>
        <w:jc w:val="both"/>
        <w:rPr>
          <w:rFonts w:ascii="Arial" w:hAnsi="Arial"/>
          <w:color w:val="000000"/>
          <w:sz w:val="24"/>
        </w:rPr>
      </w:pPr>
      <w:r>
        <w:rPr>
          <w:rFonts w:ascii="Arial" w:hAnsi="Arial"/>
          <w:color w:val="000000"/>
          <w:sz w:val="24"/>
        </w:rPr>
        <w:t>(g)</w:t>
      </w:r>
    </w:p>
    <w:p>
      <w:pPr>
        <w:pStyle w:val="TextBody"/>
        <w:bidi w:val="0"/>
        <w:spacing w:before="0" w:after="240"/>
        <w:jc w:val="both"/>
        <w:rPr>
          <w:rFonts w:ascii="Arial" w:hAnsi="Arial"/>
          <w:color w:val="000000"/>
          <w:sz w:val="24"/>
        </w:rPr>
      </w:pPr>
      <w:r>
        <w:rPr>
          <w:rFonts w:ascii="Arial" w:hAnsi="Arial"/>
          <w:color w:val="000000"/>
          <w:sz w:val="24"/>
        </w:rPr>
        <w:t xml:space="preserve">The post-employment restrictions on Employee’s conduct contained in this Employment Agreement and in the Confidential Information Agreement will continue to apply even if Employee’s duties, title, compensation, location or other terms or conditions of employment change, and even if such change or changes are material. </w:t>
      </w:r>
    </w:p>
    <w:p>
      <w:pPr>
        <w:pStyle w:val="TextBody"/>
        <w:bidi w:val="0"/>
        <w:spacing w:before="0" w:after="240"/>
        <w:jc w:val="both"/>
        <w:rPr>
          <w:rFonts w:ascii="Arial" w:hAnsi="Arial"/>
          <w:color w:val="000000"/>
          <w:sz w:val="24"/>
        </w:rPr>
      </w:pPr>
      <w:r>
        <w:rPr>
          <w:rFonts w:ascii="Arial" w:hAnsi="Arial"/>
          <w:color w:val="000000"/>
          <w:sz w:val="24"/>
        </w:rPr>
        <w:t>(h)</w:t>
      </w:r>
    </w:p>
    <w:p>
      <w:pPr>
        <w:pStyle w:val="TextBody"/>
        <w:bidi w:val="0"/>
        <w:spacing w:before="0" w:after="240"/>
        <w:jc w:val="both"/>
        <w:rPr>
          <w:rFonts w:ascii="Arial" w:hAnsi="Arial"/>
          <w:color w:val="000000"/>
          <w:sz w:val="24"/>
        </w:rPr>
      </w:pPr>
      <w:r>
        <w:rPr>
          <w:rFonts w:ascii="Arial" w:hAnsi="Arial"/>
          <w:color w:val="000000"/>
          <w:sz w:val="24"/>
        </w:rPr>
        <w:t xml:space="preserve">The Company and Employee agree that violation by Employee of any of the provisions of this Section 7 of this Employment Agreement would cause the Company irreparable harm beyond what could reasonably or adequately be compensated in damages, and that the Company would therefore be entitled (in addition to the Company’s other remedies) to an injunction, declaratory judgment or restraining order against any such violation or threatened violation. </w:t>
      </w:r>
    </w:p>
    <w:p>
      <w:pPr>
        <w:pStyle w:val="TextBody"/>
        <w:bidi w:val="0"/>
        <w:spacing w:before="0" w:after="240"/>
        <w:jc w:val="both"/>
        <w:rPr>
          <w:rFonts w:ascii="Arial" w:hAnsi="Arial"/>
          <w:color w:val="000000"/>
          <w:sz w:val="24"/>
        </w:rPr>
      </w:pPr>
      <w:r>
        <w:rPr>
          <w:rFonts w:ascii="Arial" w:hAnsi="Arial"/>
          <w:color w:val="000000"/>
          <w:sz w:val="24"/>
        </w:rPr>
        <w:t>(i)</w:t>
      </w:r>
    </w:p>
    <w:p>
      <w:pPr>
        <w:pStyle w:val="TextBody"/>
        <w:bidi w:val="0"/>
        <w:spacing w:before="0" w:after="240"/>
        <w:jc w:val="both"/>
        <w:rPr>
          <w:rFonts w:ascii="Arial" w:hAnsi="Arial"/>
          <w:color w:val="000000"/>
          <w:sz w:val="24"/>
        </w:rPr>
      </w:pPr>
      <w:r>
        <w:rPr>
          <w:rFonts w:ascii="Arial" w:hAnsi="Arial"/>
          <w:color w:val="000000"/>
          <w:sz w:val="24"/>
        </w:rPr>
        <w:t xml:space="preserve">Employee has had an opportunity to have this Employment Agreement reviewed by an attorney before signing.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spacing w:before="0" w:after="240"/>
        <w:jc w:val="both"/>
        <w:rPr>
          <w:rFonts w:ascii="Arial" w:hAnsi="Arial"/>
          <w:color w:val="000000"/>
          <w:sz w:val="24"/>
        </w:rPr>
      </w:pPr>
      <w:r>
        <w:rPr>
          <w:rFonts w:ascii="Arial" w:hAnsi="Arial"/>
          <w:color w:val="000000"/>
          <w:sz w:val="24"/>
        </w:rPr>
        <w:t>(j)</w:t>
      </w:r>
    </w:p>
    <w:p>
      <w:pPr>
        <w:pStyle w:val="TextBody"/>
        <w:bidi w:val="0"/>
        <w:spacing w:before="0" w:after="240"/>
        <w:jc w:val="both"/>
        <w:rPr>
          <w:rFonts w:ascii="Arial" w:hAnsi="Arial"/>
          <w:color w:val="000000"/>
          <w:sz w:val="24"/>
        </w:rPr>
      </w:pPr>
      <w:r>
        <w:rPr>
          <w:rFonts w:ascii="Arial" w:hAnsi="Arial"/>
          <w:color w:val="000000"/>
          <w:sz w:val="24"/>
        </w:rPr>
        <w:t>Employee acknowledges and agrees that this non-competition covenant is supported by the following mutually-agreed upon consideration, which the parties acknowledge and agree is fair and reasonable: at-will employment with the Company, the compensation and benefits associated therewith and the other terms and conditions of this Employment Agreement.</w:t>
      </w:r>
    </w:p>
    <w:p>
      <w:pPr>
        <w:pStyle w:val="TextBody"/>
        <w:bidi w:val="0"/>
        <w:spacing w:before="0" w:after="240"/>
        <w:jc w:val="both"/>
        <w:rPr>
          <w:rFonts w:ascii="Arial" w:hAnsi="Arial"/>
          <w:color w:val="000000"/>
          <w:sz w:val="24"/>
        </w:rPr>
      </w:pPr>
      <w:r>
        <w:rPr>
          <w:rFonts w:ascii="Arial" w:hAnsi="Arial"/>
          <w:color w:val="000000"/>
          <w:sz w:val="24"/>
        </w:rPr>
        <w:t>(k)</w:t>
      </w:r>
    </w:p>
    <w:p>
      <w:pPr>
        <w:pStyle w:val="TextBody"/>
        <w:bidi w:val="0"/>
        <w:spacing w:before="0" w:after="240"/>
        <w:jc w:val="both"/>
        <w:rPr>
          <w:rFonts w:ascii="Arial" w:hAnsi="Arial"/>
          <w:color w:val="000000"/>
          <w:sz w:val="24"/>
        </w:rPr>
      </w:pPr>
      <w:r>
        <w:rPr>
          <w:rFonts w:ascii="Arial" w:hAnsi="Arial"/>
          <w:color w:val="000000"/>
          <w:sz w:val="24"/>
        </w:rPr>
        <w:t xml:space="preserve">If and to the extent Employee is employed in California, the provisions of this Section 7 shall not apply. </w:t>
      </w:r>
    </w:p>
    <w:p>
      <w:pPr>
        <w:pStyle w:val="TextBody"/>
        <w:bidi w:val="0"/>
        <w:spacing w:before="0" w:after="240"/>
        <w:jc w:val="both"/>
        <w:rPr>
          <w:rFonts w:ascii="Arial" w:hAnsi="Arial"/>
          <w:b/>
          <w:color w:val="000000"/>
          <w:sz w:val="22"/>
        </w:rPr>
      </w:pPr>
      <w:r>
        <w:rPr>
          <w:rFonts w:ascii="Arial" w:hAnsi="Arial"/>
          <w:b/>
          <w:color w:val="000000"/>
          <w:sz w:val="22"/>
        </w:rPr>
        <w:t>8.</w:t>
      </w:r>
    </w:p>
    <w:p>
      <w:pPr>
        <w:pStyle w:val="TextBody"/>
        <w:bidi w:val="0"/>
        <w:spacing w:before="0" w:after="240"/>
        <w:jc w:val="both"/>
        <w:rPr/>
      </w:pPr>
      <w:r>
        <w:rPr>
          <w:rFonts w:ascii="Arial" w:hAnsi="Arial"/>
          <w:b/>
          <w:color w:val="000000"/>
          <w:sz w:val="24"/>
        </w:rPr>
        <w:t>Code Section 409A Compliance</w:t>
      </w:r>
      <w:r>
        <w:rPr>
          <w:rFonts w:ascii="Arial" w:hAnsi="Arial"/>
          <w:color w:val="000000"/>
          <w:sz w:val="24"/>
        </w:rPr>
        <w:t xml:space="preserve">. </w:t>
      </w:r>
    </w:p>
    <w:p>
      <w:pPr>
        <w:pStyle w:val="TextBody"/>
        <w:bidi w:val="0"/>
        <w:spacing w:before="0" w:after="240"/>
        <w:jc w:val="both"/>
        <w:rPr>
          <w:rFonts w:ascii="Arial" w:hAnsi="Arial"/>
          <w:color w:val="000000"/>
          <w:sz w:val="24"/>
        </w:rPr>
      </w:pPr>
      <w:r>
        <w:rPr>
          <w:rFonts w:ascii="Arial" w:hAnsi="Arial"/>
          <w:color w:val="000000"/>
          <w:sz w:val="24"/>
        </w:rPr>
        <w:t>(a)</w:t>
      </w:r>
    </w:p>
    <w:p>
      <w:pPr>
        <w:pStyle w:val="TextBody"/>
        <w:bidi w:val="0"/>
        <w:spacing w:before="0" w:after="240"/>
        <w:jc w:val="both"/>
        <w:rPr>
          <w:rFonts w:ascii="Arial" w:hAnsi="Arial"/>
          <w:color w:val="000000"/>
          <w:sz w:val="24"/>
        </w:rPr>
      </w:pPr>
      <w:r>
        <w:rPr>
          <w:rFonts w:ascii="Arial" w:hAnsi="Arial"/>
          <w:color w:val="000000"/>
          <w:sz w:val="24"/>
        </w:rPr>
        <w:t xml:space="preserve">Where this Employment Agreement refers to Employee’s termination of employment for purposes of receiving any payment, whether such a termination has occurred will be determined in accordance with Section 409A of the Internal Revenue Code (the “Code”) and Treasury Regulation Section 1.409A-1(h) (or any successor provisions) to the extent required by law. </w:t>
      </w:r>
    </w:p>
    <w:p>
      <w:pPr>
        <w:pStyle w:val="TextBody"/>
        <w:bidi w:val="0"/>
        <w:spacing w:before="0" w:after="240"/>
        <w:jc w:val="both"/>
        <w:rPr>
          <w:rFonts w:ascii="Arial" w:hAnsi="Arial"/>
          <w:color w:val="000000"/>
          <w:sz w:val="24"/>
        </w:rPr>
      </w:pPr>
      <w:r>
        <w:rPr>
          <w:rFonts w:ascii="Arial" w:hAnsi="Arial"/>
          <w:color w:val="000000"/>
          <w:sz w:val="24"/>
        </w:rPr>
        <w:t>(b)</w:t>
      </w:r>
    </w:p>
    <w:p>
      <w:pPr>
        <w:pStyle w:val="TextBody"/>
        <w:bidi w:val="0"/>
        <w:spacing w:before="0" w:after="240"/>
        <w:jc w:val="both"/>
        <w:rPr>
          <w:rFonts w:ascii="Arial" w:hAnsi="Arial"/>
          <w:color w:val="000000"/>
          <w:sz w:val="24"/>
        </w:rPr>
      </w:pPr>
      <w:r>
        <w:rPr>
          <w:rFonts w:ascii="Arial" w:hAnsi="Arial"/>
          <w:color w:val="000000"/>
          <w:sz w:val="24"/>
        </w:rPr>
        <w:t xml:space="preserve">To the extent that benefits under Section 6 are contingent upon Employee providing a General Release Agreement, Employee will sign and return the General Release Agreement within the reasonable time period designated by the Company, which will not be more than 45 days. If the period for Employee to review a General Release Agreement plus any revocation period crosses calendar years, payments contingent upon the Release will be made in the later calendar year. Any payments contingent upon the General Release Agreement that would otherwise be made during the period for review and revocation of the General Release Agreement will be made, provided that the General Release Agreement is timely executed and returned to the Company and not revoked, on the first scheduled payment date after such period ends. Each payment in respect of Employee’s termination of employment under Section 6 of the Employment Agreement is designated as a separate payment for Section 409A purposes. </w:t>
      </w:r>
    </w:p>
    <w:p>
      <w:pPr>
        <w:pStyle w:val="TextBody"/>
        <w:bidi w:val="0"/>
        <w:spacing w:before="0" w:after="240"/>
        <w:jc w:val="both"/>
        <w:rPr>
          <w:rFonts w:ascii="Arial" w:hAnsi="Arial"/>
          <w:color w:val="000000"/>
          <w:sz w:val="24"/>
        </w:rPr>
      </w:pPr>
      <w:r>
        <w:rPr>
          <w:rFonts w:ascii="Arial" w:hAnsi="Arial"/>
          <w:color w:val="000000"/>
          <w:sz w:val="24"/>
        </w:rPr>
        <w:t>(c)</w:t>
      </w:r>
    </w:p>
    <w:p>
      <w:pPr>
        <w:pStyle w:val="TextBody"/>
        <w:bidi w:val="0"/>
        <w:spacing w:before="0" w:after="240"/>
        <w:jc w:val="both"/>
        <w:rPr>
          <w:rFonts w:ascii="Arial" w:hAnsi="Arial"/>
          <w:color w:val="000000"/>
          <w:sz w:val="24"/>
        </w:rPr>
      </w:pPr>
      <w:r>
        <w:rPr>
          <w:rFonts w:ascii="Arial" w:hAnsi="Arial"/>
          <w:color w:val="000000"/>
          <w:sz w:val="24"/>
        </w:rPr>
        <w:t>If Employee is designated as a “specified Executive” within the meaning of Code Section 409A (while the Company is publicly traded), any deferred compensation payment subject to Section 409A to be made during the six-month period following Employee’s termination of employment will be withheld and the amount of the payments withheld will be paid in a lump sum, without interest, during the seventh month after Employee’s termination; provided, however, that if Employee dies prior to the expiration of such six month period, payment to Employee’s beneficiary will be made as soon as reasonably practicable following Employee’s death. The Company will identify in writing delivered to Employee any payments it reasonably determines are subject to delay under this Section 8(c). In no event will the Company have any liability or obligation with respect to taxes for which Employee may become liable as a result of the application of Code Section 409A.</w:t>
      </w:r>
    </w:p>
    <w:p>
      <w:pPr>
        <w:pStyle w:val="TextBody"/>
        <w:bidi w:val="0"/>
        <w:spacing w:before="0" w:after="240"/>
        <w:jc w:val="both"/>
        <w:rPr>
          <w:rFonts w:ascii="Arial" w:hAnsi="Arial"/>
          <w:b/>
          <w:color w:val="000000"/>
          <w:sz w:val="22"/>
        </w:rPr>
      </w:pPr>
      <w:r>
        <w:rPr>
          <w:rFonts w:ascii="Arial" w:hAnsi="Arial"/>
          <w:b/>
          <w:color w:val="000000"/>
          <w:sz w:val="22"/>
        </w:rPr>
        <w:t>9.</w:t>
      </w:r>
    </w:p>
    <w:p>
      <w:pPr>
        <w:pStyle w:val="TextBody"/>
        <w:bidi w:val="0"/>
        <w:spacing w:before="0" w:after="240"/>
        <w:jc w:val="both"/>
        <w:rPr/>
      </w:pPr>
      <w:r>
        <w:rPr>
          <w:rFonts w:ascii="Arial" w:hAnsi="Arial"/>
          <w:b/>
          <w:color w:val="000000"/>
          <w:sz w:val="24"/>
        </w:rPr>
        <w:t>Code Sections 280G/4999.</w:t>
      </w:r>
      <w:r>
        <w:rPr>
          <w:color w:val="000000"/>
        </w:rPr>
        <w:t xml:space="preserve"> </w:t>
      </w:r>
      <w:r>
        <w:rPr>
          <w:rFonts w:ascii="Arial" w:hAnsi="Arial"/>
          <w:color w:val="000000"/>
          <w:sz w:val="24"/>
        </w:rPr>
        <w:t xml:space="preserve">If (a) any payments or benefits to Employee in connection with this Employment Agreement (“Payments”) would be subject to the excise tax imposed by Code Section 4999 (the “Parachute Tax”), (b) paying Employee a lesser amount would avoid the Parachute Tax entirely and (c) payment of such lesser amount would, after taking into account applicable federal, state and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spacing w:before="0" w:after="240"/>
        <w:jc w:val="both"/>
        <w:rPr>
          <w:rFonts w:ascii="Arial" w:hAnsi="Arial"/>
          <w:color w:val="000000"/>
          <w:sz w:val="24"/>
        </w:rPr>
      </w:pPr>
      <w:r>
        <w:rPr>
          <w:rFonts w:ascii="Arial" w:hAnsi="Arial"/>
          <w:color w:val="000000"/>
          <w:sz w:val="24"/>
        </w:rPr>
        <w:t>local income taxes and the Parachute Tax, result in Employee receiving a greater after-tax payment than if the Company made the Payments in full, then the Company will pay Employee such lesser amount instead of making the Payments in full. The reporting and payment of any Parachute Tax will in all events be Employee’s responsibility. The Company will not in any event provide a gross-up or any other payment to compensate Employee for the payment of the Parachute Tax or for any reduction in the Payments. The Company will withhold from the Payments any amounts it reasonably determines are required under Code Section 4999(c) and the Treasury Regulations thereunder.</w:t>
      </w:r>
    </w:p>
    <w:p>
      <w:pPr>
        <w:pStyle w:val="TextBody"/>
        <w:bidi w:val="0"/>
        <w:spacing w:before="0" w:after="240"/>
        <w:jc w:val="both"/>
        <w:rPr>
          <w:rFonts w:ascii="Arial" w:hAnsi="Arial"/>
          <w:b/>
          <w:color w:val="000000"/>
          <w:sz w:val="22"/>
        </w:rPr>
      </w:pPr>
      <w:r>
        <w:rPr>
          <w:rFonts w:ascii="Arial" w:hAnsi="Arial"/>
          <w:b/>
          <w:color w:val="000000"/>
          <w:sz w:val="22"/>
        </w:rPr>
        <w:t>10.</w:t>
      </w:r>
    </w:p>
    <w:p>
      <w:pPr>
        <w:pStyle w:val="TextBody"/>
        <w:bidi w:val="0"/>
        <w:spacing w:before="0" w:after="240"/>
        <w:jc w:val="both"/>
        <w:rPr/>
      </w:pPr>
      <w:r>
        <w:rPr>
          <w:rFonts w:ascii="Arial" w:hAnsi="Arial"/>
          <w:b/>
          <w:color w:val="000000"/>
          <w:sz w:val="24"/>
        </w:rPr>
        <w:t>Withholding.</w:t>
      </w:r>
      <w:r>
        <w:rPr>
          <w:color w:val="000000"/>
        </w:rPr>
        <w:t xml:space="preserve"> </w:t>
      </w:r>
      <w:r>
        <w:rPr>
          <w:rFonts w:ascii="Arial" w:hAnsi="Arial"/>
          <w:color w:val="000000"/>
          <w:sz w:val="24"/>
        </w:rPr>
        <w:t xml:space="preserve">The Company will deduct from the amounts payable to Employee pursuant to this Employment Agreement all withholding amounts and deductions required by law or authorized by Employee. </w:t>
      </w:r>
    </w:p>
    <w:p>
      <w:pPr>
        <w:pStyle w:val="TextBody"/>
        <w:bidi w:val="0"/>
        <w:spacing w:before="0" w:after="240"/>
        <w:jc w:val="both"/>
        <w:rPr>
          <w:rFonts w:ascii="Arial" w:hAnsi="Arial"/>
          <w:b/>
          <w:color w:val="000000"/>
          <w:sz w:val="22"/>
        </w:rPr>
      </w:pPr>
      <w:r>
        <w:rPr>
          <w:rFonts w:ascii="Arial" w:hAnsi="Arial"/>
          <w:b/>
          <w:color w:val="000000"/>
          <w:sz w:val="22"/>
        </w:rPr>
        <w:t>11.</w:t>
      </w:r>
    </w:p>
    <w:p>
      <w:pPr>
        <w:pStyle w:val="TextBody"/>
        <w:bidi w:val="0"/>
        <w:spacing w:before="0" w:after="240"/>
        <w:jc w:val="both"/>
        <w:rPr/>
      </w:pPr>
      <w:r>
        <w:rPr>
          <w:rFonts w:ascii="Arial" w:hAnsi="Arial"/>
          <w:b/>
          <w:color w:val="000000"/>
          <w:sz w:val="24"/>
        </w:rPr>
        <w:t>Changes to Plans and Policies.</w:t>
      </w:r>
      <w:r>
        <w:rPr>
          <w:color w:val="000000"/>
        </w:rPr>
        <w:t xml:space="preserve"> </w:t>
      </w:r>
      <w:r>
        <w:rPr>
          <w:rFonts w:ascii="Arial" w:hAnsi="Arial"/>
          <w:color w:val="000000"/>
          <w:sz w:val="24"/>
        </w:rPr>
        <w:t xml:space="preserve">Nothing in this Employment Agreement will: (a) require the Company or its affiliates to establish, maintain or continue any incentive compensation plan, stock incentive plan or other benefit plan, policy or arrangement; (b) restrict the right of the Company or any of its affiliates to amend, modify or terminate any such plan, policy or arrangement; (c) entitle Employee to participate in any such plan policy or arrangement at any specified level (or at all) in any year; or (d) prevent any future change to any such plan, policy or arrangement from applying to Employee in accordance with the terms of the change. </w:t>
      </w:r>
    </w:p>
    <w:p>
      <w:pPr>
        <w:pStyle w:val="TextBody"/>
        <w:bidi w:val="0"/>
        <w:spacing w:before="0" w:after="240"/>
        <w:jc w:val="both"/>
        <w:rPr>
          <w:rFonts w:ascii="Arial" w:hAnsi="Arial"/>
          <w:b/>
          <w:color w:val="000000"/>
          <w:sz w:val="22"/>
        </w:rPr>
      </w:pPr>
      <w:r>
        <w:rPr>
          <w:rFonts w:ascii="Arial" w:hAnsi="Arial"/>
          <w:b/>
          <w:color w:val="000000"/>
          <w:sz w:val="22"/>
        </w:rPr>
        <w:t>12.</w:t>
      </w:r>
    </w:p>
    <w:p>
      <w:pPr>
        <w:pStyle w:val="TextBody"/>
        <w:bidi w:val="0"/>
        <w:spacing w:before="0" w:after="240"/>
        <w:jc w:val="both"/>
        <w:rPr/>
      </w:pPr>
      <w:r>
        <w:rPr>
          <w:rFonts w:ascii="Arial" w:hAnsi="Arial"/>
          <w:b/>
          <w:color w:val="000000"/>
          <w:sz w:val="24"/>
        </w:rPr>
        <w:t>Assignment</w:t>
      </w:r>
      <w:r>
        <w:rPr>
          <w:rFonts w:ascii="Arial" w:hAnsi="Arial"/>
          <w:color w:val="000000"/>
          <w:sz w:val="24"/>
        </w:rPr>
        <w:t>. The rights and obligations of the Company under this Employment Agreement will inure to the benefit of, and be binding upon, the Company’s successors and assigns. The rights and obligations of Employee under this Employment Agreement will inure to the benefit of, and will be binding upon, Employee’s heirs, executors and legal representatives. Employee may not delegate or assign any obligations under this Employment Agreement.</w:t>
      </w:r>
    </w:p>
    <w:p>
      <w:pPr>
        <w:pStyle w:val="TextBody"/>
        <w:bidi w:val="0"/>
        <w:spacing w:before="0" w:after="240"/>
        <w:jc w:val="both"/>
        <w:rPr>
          <w:rFonts w:ascii="Arial" w:hAnsi="Arial"/>
          <w:b/>
          <w:color w:val="000000"/>
          <w:sz w:val="22"/>
        </w:rPr>
      </w:pPr>
      <w:r>
        <w:rPr>
          <w:rFonts w:ascii="Arial" w:hAnsi="Arial"/>
          <w:b/>
          <w:color w:val="000000"/>
          <w:sz w:val="22"/>
        </w:rPr>
        <w:t>13.</w:t>
      </w:r>
    </w:p>
    <w:p>
      <w:pPr>
        <w:pStyle w:val="TextBody"/>
        <w:bidi w:val="0"/>
        <w:spacing w:before="0" w:after="240"/>
        <w:jc w:val="both"/>
        <w:rPr/>
      </w:pPr>
      <w:r>
        <w:rPr>
          <w:rFonts w:ascii="Arial" w:hAnsi="Arial"/>
          <w:b/>
          <w:color w:val="000000"/>
          <w:sz w:val="24"/>
        </w:rPr>
        <w:t>Entire Agreement and Severability</w:t>
      </w:r>
      <w:r>
        <w:rPr>
          <w:rFonts w:ascii="Arial" w:hAnsi="Arial"/>
          <w:color w:val="000000"/>
          <w:sz w:val="24"/>
        </w:rPr>
        <w:t>. This Employment Agreement and the Confidential Information Agreement supersede any and all other agreements, either oral or in writing, between Employee and the Company with respect to the Company’s employment of Employee, including the Prior Employment Agreement and the Prior Confidential Information Agreement. This Employment Agreement and the Confidential Information Agreement contain all of the covenants and agreements between the parties with respect to such employment. Neither party is entering into this Employment Agreement on the basis of any representation, inducement, promise or agreement, oral or otherwise, by any party, or by anyone acting on behalf of any party, which is not stated herein. Any modification of this Employment Agreement will be effective only if it is in writing and signed by both parties to this Employment Agreement. If any provision in this Employment Agreement is held by a court of competent jurisdiction to be invalid, void or unenforceable, the remaining provisions will nevertheless continue in full force and effect without being impaired or invalidated in any way.</w:t>
      </w:r>
    </w:p>
    <w:p>
      <w:pPr>
        <w:pStyle w:val="TextBody"/>
        <w:bidi w:val="0"/>
        <w:spacing w:before="0" w:after="240"/>
        <w:jc w:val="both"/>
        <w:rPr>
          <w:rFonts w:ascii="Arial" w:hAnsi="Arial"/>
          <w:b/>
          <w:color w:val="000000"/>
          <w:sz w:val="22"/>
        </w:rPr>
      </w:pPr>
      <w:r>
        <w:rPr>
          <w:rFonts w:ascii="Arial" w:hAnsi="Arial"/>
          <w:b/>
          <w:color w:val="000000"/>
          <w:sz w:val="22"/>
        </w:rPr>
        <w:t>14.</w:t>
      </w:r>
    </w:p>
    <w:p>
      <w:pPr>
        <w:pStyle w:val="TextBody"/>
        <w:bidi w:val="0"/>
        <w:spacing w:before="0" w:after="240"/>
        <w:jc w:val="both"/>
        <w:rPr/>
      </w:pPr>
      <w:r>
        <w:rPr>
          <w:rFonts w:ascii="Arial" w:hAnsi="Arial"/>
          <w:b/>
          <w:color w:val="000000"/>
          <w:sz w:val="24"/>
        </w:rPr>
        <w:t>Miscellaneous</w:t>
      </w:r>
      <w:r>
        <w:rPr>
          <w:rFonts w:ascii="Arial" w:hAnsi="Arial"/>
          <w:color w:val="000000"/>
          <w:sz w:val="24"/>
        </w:rPr>
        <w:t xml:space="preserve">. This Employment Agreement and the rights and obligations of the parties hereunder will be governed by, and construed in accordance with, the laws of the Commonwealth of Massachusetts, excluding (but only to the extent permitted by law) its conflict of laws and choice of law rules. The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Arial" w:hAnsi="Arial"/>
          <w:color w:val="000000"/>
          <w:sz w:val="24"/>
        </w:rPr>
        <w:t>parties agree that service of any process, summons, notice or document by U.S. certified mail or overnight delivery by a generally recognized commercial courier service to Employee’s last known address (or any mode of service recognized to be effective by applicable law) will be effective service of process for any action, suit or proceeding brought against Employee. The failure of either party hereto to enforce any right under this Employment Agreement will not be considered a waiver of that right, or of any related claim for damages, or of any other rights under this Employment Agreement.</w:t>
      </w:r>
      <w:r>
        <w:rPr>
          <w:color w:val="000000"/>
        </w:rPr>
        <w:t xml:space="preserve"> </w:t>
      </w:r>
    </w:p>
    <w:p>
      <w:pPr>
        <w:pStyle w:val="TextBody"/>
        <w:bidi w:val="0"/>
        <w:spacing w:before="0" w:after="240"/>
        <w:jc w:val="both"/>
        <w:rPr>
          <w:rFonts w:ascii="Arial" w:hAnsi="Arial"/>
          <w:b/>
          <w:color w:val="000000"/>
          <w:sz w:val="22"/>
        </w:rPr>
      </w:pPr>
      <w:r>
        <w:rPr>
          <w:rFonts w:ascii="Arial" w:hAnsi="Arial"/>
          <w:b/>
          <w:color w:val="000000"/>
          <w:sz w:val="22"/>
        </w:rPr>
        <w:t>15.</w:t>
      </w:r>
    </w:p>
    <w:p>
      <w:pPr>
        <w:pStyle w:val="TextBody"/>
        <w:bidi w:val="0"/>
        <w:spacing w:before="0" w:after="240"/>
        <w:jc w:val="both"/>
        <w:rPr/>
      </w:pPr>
      <w:r>
        <w:rPr>
          <w:rFonts w:ascii="Arial" w:hAnsi="Arial"/>
          <w:b/>
          <w:color w:val="000000"/>
          <w:sz w:val="24"/>
        </w:rPr>
        <w:t>Arbitration and Waiver of Jury Trial</w:t>
      </w:r>
      <w:r>
        <w:rPr>
          <w:rFonts w:ascii="Arial" w:hAnsi="Arial"/>
          <w:color w:val="000000"/>
          <w:sz w:val="24"/>
        </w:rPr>
        <w:t xml:space="preserve">. </w:t>
      </w:r>
    </w:p>
    <w:p>
      <w:pPr>
        <w:pStyle w:val="TextBody"/>
        <w:bidi w:val="0"/>
        <w:spacing w:before="0" w:after="240"/>
        <w:jc w:val="both"/>
        <w:rPr>
          <w:rFonts w:ascii="Arial" w:hAnsi="Arial"/>
          <w:color w:val="000000"/>
          <w:sz w:val="24"/>
        </w:rPr>
      </w:pPr>
      <w:r>
        <w:rPr>
          <w:rFonts w:ascii="Arial" w:hAnsi="Arial"/>
          <w:color w:val="000000"/>
          <w:sz w:val="24"/>
        </w:rPr>
        <w:t>(a)</w:t>
      </w:r>
    </w:p>
    <w:p>
      <w:pPr>
        <w:pStyle w:val="TextBody"/>
        <w:bidi w:val="0"/>
        <w:spacing w:before="0" w:after="240"/>
        <w:jc w:val="both"/>
        <w:rPr>
          <w:rFonts w:ascii="Arial" w:hAnsi="Arial"/>
          <w:color w:val="000000"/>
          <w:sz w:val="24"/>
        </w:rPr>
      </w:pPr>
      <w:r>
        <w:rPr>
          <w:rFonts w:ascii="Arial" w:hAnsi="Arial"/>
          <w:color w:val="000000"/>
          <w:sz w:val="24"/>
        </w:rPr>
        <w:t xml:space="preserve">Any “Legal Dispute” (as defined below) between Employee and any MKS Entity (or between Employee and any employee or agent of any MKS Entity, to the extent directly or indirectly arising from or relating in any way to Employee’s employment with or separation from the Company) will be resolved by final and binding arbitration. Notwithstanding the foregoing sentence, the Company may, in its sole discretion, obtain preliminary injunctive relief enforcing the provisions of the Confidential Information Agreement or Section 7 of this Employment Agreement from any court of competent jurisdiction. </w:t>
      </w:r>
    </w:p>
    <w:p>
      <w:pPr>
        <w:pStyle w:val="TextBody"/>
        <w:bidi w:val="0"/>
        <w:spacing w:before="0" w:after="240"/>
        <w:jc w:val="both"/>
        <w:rPr>
          <w:rFonts w:ascii="Arial" w:hAnsi="Arial"/>
          <w:color w:val="000000"/>
          <w:sz w:val="24"/>
        </w:rPr>
      </w:pPr>
      <w:r>
        <w:rPr>
          <w:rFonts w:ascii="Arial" w:hAnsi="Arial"/>
          <w:color w:val="000000"/>
          <w:sz w:val="24"/>
        </w:rPr>
        <w:t>(b)</w:t>
      </w:r>
    </w:p>
    <w:p>
      <w:pPr>
        <w:pStyle w:val="TextBody"/>
        <w:bidi w:val="0"/>
        <w:spacing w:before="0" w:after="240"/>
        <w:jc w:val="both"/>
        <w:rPr>
          <w:color w:val="000000"/>
        </w:rPr>
      </w:pPr>
      <w:r>
        <w:rPr>
          <w:color w:val="000000"/>
        </w:rPr>
        <w:t>“</w:t>
      </w:r>
      <w:r>
        <w:rPr>
          <w:rFonts w:ascii="Arial" w:hAnsi="Arial"/>
          <w:color w:val="000000"/>
          <w:sz w:val="24"/>
        </w:rPr>
        <w:t xml:space="preserve">Legal Dispute” means a dispute about legal rights or legal obligations, including but not limited to any rights or obligations arising under this Employment Agreement; the Confidential Information Agreement; any other agreement; any applicable legal or equitable doctrine; any applicable common law theory; or any applicable federal, state or local, statute, regulation or other legal requirement. </w:t>
      </w:r>
    </w:p>
    <w:p>
      <w:pPr>
        <w:pStyle w:val="TextBody"/>
        <w:bidi w:val="0"/>
        <w:spacing w:before="0" w:after="240"/>
        <w:jc w:val="both"/>
        <w:rPr>
          <w:rFonts w:ascii="Arial" w:hAnsi="Arial"/>
          <w:color w:val="000000"/>
          <w:sz w:val="24"/>
        </w:rPr>
      </w:pPr>
      <w:r>
        <w:rPr>
          <w:rFonts w:ascii="Arial" w:hAnsi="Arial"/>
          <w:color w:val="000000"/>
          <w:sz w:val="24"/>
        </w:rPr>
        <w:t>(c)</w:t>
      </w:r>
    </w:p>
    <w:p>
      <w:pPr>
        <w:pStyle w:val="TextBody"/>
        <w:bidi w:val="0"/>
        <w:spacing w:before="0" w:after="240"/>
        <w:jc w:val="both"/>
        <w:rPr>
          <w:rFonts w:ascii="Arial" w:hAnsi="Arial"/>
          <w:color w:val="000000"/>
          <w:sz w:val="24"/>
        </w:rPr>
      </w:pPr>
      <w:r>
        <w:rPr>
          <w:rFonts w:ascii="Arial" w:hAnsi="Arial"/>
          <w:color w:val="000000"/>
          <w:sz w:val="24"/>
        </w:rPr>
        <w:t xml:space="preserve">The arbitration will be held in the Commonwealth of Massachusetts. It will be conducted in accordance with the then-prevailing Employment Arbitration Rules of the American Arbitration Association. </w:t>
      </w:r>
    </w:p>
    <w:p>
      <w:pPr>
        <w:pStyle w:val="TextBody"/>
        <w:bidi w:val="0"/>
        <w:spacing w:before="0" w:after="240"/>
        <w:jc w:val="both"/>
        <w:rPr>
          <w:rFonts w:ascii="Arial" w:hAnsi="Arial"/>
          <w:color w:val="000000"/>
          <w:sz w:val="24"/>
        </w:rPr>
      </w:pPr>
      <w:r>
        <w:rPr>
          <w:rFonts w:ascii="Arial" w:hAnsi="Arial"/>
          <w:color w:val="000000"/>
          <w:sz w:val="24"/>
        </w:rPr>
        <w:t>(d)</w:t>
      </w:r>
    </w:p>
    <w:p>
      <w:pPr>
        <w:pStyle w:val="TextBody"/>
        <w:bidi w:val="0"/>
        <w:spacing w:before="0" w:after="240"/>
        <w:jc w:val="both"/>
        <w:rPr>
          <w:rFonts w:ascii="Arial" w:hAnsi="Arial"/>
          <w:color w:val="000000"/>
          <w:sz w:val="24"/>
        </w:rPr>
      </w:pPr>
      <w:r>
        <w:rPr>
          <w:rFonts w:ascii="Arial" w:hAnsi="Arial"/>
          <w:color w:val="000000"/>
          <w:sz w:val="24"/>
        </w:rPr>
        <w:t xml:space="preserve">Notwithstanding any other provision of this Employment Agreement or any other agreement or of any arbitration rules, no Legal Dispute involving any MKS Entity may be included in any class or collective arbitration or any other class or collective proceeding. The exclusive method for resolving any such Legal Dispute will be arbitration on an individual basis. </w:t>
      </w:r>
    </w:p>
    <w:p>
      <w:pPr>
        <w:pStyle w:val="TextBody"/>
        <w:bidi w:val="0"/>
        <w:spacing w:before="0" w:after="240"/>
        <w:jc w:val="both"/>
        <w:rPr>
          <w:rFonts w:ascii="Arial" w:hAnsi="Arial"/>
          <w:color w:val="000000"/>
          <w:sz w:val="24"/>
        </w:rPr>
      </w:pPr>
      <w:r>
        <w:rPr>
          <w:rFonts w:ascii="Arial" w:hAnsi="Arial"/>
          <w:color w:val="000000"/>
          <w:sz w:val="24"/>
        </w:rPr>
        <w:t>(e)</w:t>
      </w:r>
    </w:p>
    <w:p>
      <w:pPr>
        <w:pStyle w:val="TextBody"/>
        <w:bidi w:val="0"/>
        <w:spacing w:before="0" w:after="240"/>
        <w:jc w:val="both"/>
        <w:rPr>
          <w:rFonts w:ascii="Arial" w:hAnsi="Arial"/>
          <w:color w:val="000000"/>
          <w:sz w:val="24"/>
        </w:rPr>
      </w:pPr>
      <w:r>
        <w:rPr>
          <w:rFonts w:ascii="Arial" w:hAnsi="Arial"/>
          <w:color w:val="000000"/>
          <w:sz w:val="24"/>
        </w:rPr>
        <w:t xml:space="preserve">Any issues about whether a dispute is subject to arbitration will be determined by a court of competent jurisdiction and not by an arbitrator. Any issues about the meaning or enforceability of Section 15(d) will be decided by a court of competent jurisdiction and not by an arbitrator. </w:t>
      </w:r>
    </w:p>
    <w:p>
      <w:pPr>
        <w:pStyle w:val="TextBody"/>
        <w:bidi w:val="0"/>
        <w:spacing w:before="0" w:after="240"/>
        <w:jc w:val="both"/>
        <w:rPr>
          <w:rFonts w:ascii="Arial" w:hAnsi="Arial"/>
          <w:color w:val="000000"/>
          <w:sz w:val="24"/>
        </w:rPr>
      </w:pPr>
      <w:r>
        <w:rPr>
          <w:rFonts w:ascii="Arial" w:hAnsi="Arial"/>
          <w:color w:val="000000"/>
          <w:sz w:val="24"/>
        </w:rPr>
        <w:t>(f)</w:t>
      </w:r>
    </w:p>
    <w:p>
      <w:pPr>
        <w:pStyle w:val="TextBody"/>
        <w:bidi w:val="0"/>
        <w:spacing w:before="0" w:after="240"/>
        <w:jc w:val="both"/>
        <w:rPr>
          <w:rFonts w:ascii="Arial" w:hAnsi="Arial"/>
          <w:color w:val="000000"/>
          <w:sz w:val="24"/>
        </w:rPr>
      </w:pPr>
      <w:r>
        <w:rPr>
          <w:rFonts w:ascii="Arial" w:hAnsi="Arial"/>
          <w:color w:val="000000"/>
          <w:sz w:val="24"/>
        </w:rPr>
        <w:t xml:space="preserve">The Company, Employee and the arbitrator will treat all aspects of the arbitration proceedings, including without limitation, discovery, testimony and other evidence, briefs and the award, as strictly confidential, except that the arbitration award may be disclosed to the extent necessary to enforce the award, the provisions of the Confidential Information Agreement, or the provisions of this Employment Agreement. </w:t>
      </w:r>
    </w:p>
    <w:p>
      <w:pPr>
        <w:pStyle w:val="TextBody"/>
        <w:bidi w:val="0"/>
        <w:spacing w:before="0" w:after="240"/>
        <w:jc w:val="both"/>
        <w:rPr>
          <w:rFonts w:ascii="Arial" w:hAnsi="Arial"/>
          <w:color w:val="000000"/>
          <w:sz w:val="24"/>
        </w:rPr>
      </w:pPr>
      <w:r>
        <w:rPr>
          <w:rFonts w:ascii="Arial" w:hAnsi="Arial"/>
          <w:color w:val="000000"/>
          <w:sz w:val="24"/>
        </w:rPr>
        <w:t>(g)</w:t>
      </w:r>
    </w:p>
    <w:p>
      <w:pPr>
        <w:pStyle w:val="TextBody"/>
        <w:bidi w:val="0"/>
        <w:spacing w:before="0" w:after="240"/>
        <w:jc w:val="both"/>
        <w:rPr>
          <w:rFonts w:ascii="Arial" w:hAnsi="Arial"/>
          <w:color w:val="000000"/>
          <w:sz w:val="24"/>
        </w:rPr>
      </w:pPr>
      <w:r>
        <w:rPr>
          <w:rFonts w:ascii="Arial" w:hAnsi="Arial"/>
          <w:color w:val="000000"/>
          <w:sz w:val="24"/>
        </w:rPr>
        <w:t xml:space="preserve">Employee and the Company understand and acknowledge that by agreeing to arbitrate the disputes covered by this Section 15, they are waiving the right to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Arial" w:hAnsi="Arial"/>
          <w:color w:val="000000"/>
          <w:sz w:val="24"/>
        </w:rPr>
        <w:t>resolve those disputes in court and waiving any right to a jury trial with respect to those disputes.</w:t>
      </w:r>
      <w:r>
        <w:rPr>
          <w:color w:val="000000"/>
        </w:rPr>
        <w:t xml:space="preserve"> </w:t>
      </w:r>
    </w:p>
    <w:p>
      <w:pPr>
        <w:pStyle w:val="TextBody"/>
        <w:bidi w:val="0"/>
        <w:spacing w:before="0" w:after="240"/>
        <w:jc w:val="both"/>
        <w:rPr>
          <w:rFonts w:ascii="Arial" w:hAnsi="Arial"/>
          <w:b/>
          <w:color w:val="000000"/>
          <w:sz w:val="22"/>
        </w:rPr>
      </w:pPr>
      <w:r>
        <w:rPr>
          <w:rFonts w:ascii="Arial" w:hAnsi="Arial"/>
          <w:b/>
          <w:color w:val="000000"/>
          <w:sz w:val="22"/>
        </w:rPr>
        <w:t>16.</w:t>
      </w:r>
    </w:p>
    <w:p>
      <w:pPr>
        <w:pStyle w:val="TextBody"/>
        <w:bidi w:val="0"/>
        <w:spacing w:before="0" w:after="240"/>
        <w:jc w:val="both"/>
        <w:rPr/>
      </w:pPr>
      <w:r>
        <w:rPr>
          <w:rFonts w:ascii="Arial" w:hAnsi="Arial"/>
          <w:b/>
          <w:color w:val="000000"/>
          <w:sz w:val="24"/>
        </w:rPr>
        <w:t>Knowing and Voluntary Agreement.</w:t>
      </w:r>
      <w:r>
        <w:rPr>
          <w:color w:val="000000"/>
        </w:rPr>
        <w:t xml:space="preserve"> </w:t>
      </w:r>
      <w:r>
        <w:rPr>
          <w:rFonts w:ascii="Arial" w:hAnsi="Arial"/>
          <w:color w:val="000000"/>
          <w:sz w:val="24"/>
        </w:rPr>
        <w:t xml:space="preserve">Employee understands that Employee has the right to consult counsel before signing this Employment Agreement. </w:t>
      </w:r>
    </w:p>
    <w:p>
      <w:pPr>
        <w:pStyle w:val="TextBody"/>
        <w:bidi w:val="0"/>
        <w:spacing w:before="0" w:after="240"/>
        <w:jc w:val="both"/>
        <w:rPr>
          <w:rFonts w:ascii="Arial" w:hAnsi="Arial"/>
          <w:color w:val="000000"/>
          <w:sz w:val="24"/>
        </w:rPr>
      </w:pPr>
      <w:r>
        <w:rPr>
          <w:rFonts w:ascii="Arial" w:hAnsi="Arial"/>
          <w:color w:val="000000"/>
          <w:sz w:val="24"/>
        </w:rPr>
        <w:t>IN WITNESS WHEREOF, the parties hereto have executed, in the Commonwealth of Massachusetts, this Employment Agreement as a sealed instrument, all as of the day, month and year first written above.</w:t>
      </w:r>
    </w:p>
    <w:tbl>
      <w:tblPr>
        <w:tblW w:w="6302" w:type="dxa"/>
        <w:jc w:val="left"/>
        <w:tblInd w:w="0" w:type="dxa"/>
        <w:tblLayout w:type="fixed"/>
        <w:tblCellMar>
          <w:top w:w="28" w:type="dxa"/>
          <w:left w:w="28" w:type="dxa"/>
          <w:bottom w:w="28" w:type="dxa"/>
          <w:right w:w="28" w:type="dxa"/>
        </w:tblCellMar>
      </w:tblPr>
      <w:tblGrid>
        <w:gridCol w:w="4501"/>
        <w:gridCol w:w="1801"/>
      </w:tblGrid>
      <w:tr>
        <w:trPr/>
        <w:tc>
          <w:tcPr>
            <w:tcW w:w="4501"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r>
      <w:tr>
        <w:trPr/>
        <w:tc>
          <w:tcPr>
            <w:tcW w:w="4501"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24"/>
              </w:rPr>
            </w:pPr>
            <w:r>
              <w:rPr>
                <w:rFonts w:ascii="Arial" w:hAnsi="Arial"/>
                <w:color w:val="000000"/>
                <w:sz w:val="24"/>
              </w:rPr>
              <w:t>MKS INC.</w:t>
            </w:r>
          </w:p>
          <w:p>
            <w:pPr>
              <w:pStyle w:val="TableContents"/>
              <w:bidi w:val="0"/>
              <w:spacing w:before="0" w:after="240"/>
              <w:jc w:val="left"/>
              <w:rPr/>
            </w:pPr>
            <w:r>
              <w:rPr/>
              <w:t> </w:t>
            </w:r>
          </w:p>
          <w:p>
            <w:pPr>
              <w:pStyle w:val="TableContents"/>
              <w:bidi w:val="0"/>
              <w:spacing w:before="0" w:after="240"/>
              <w:jc w:val="left"/>
              <w:rPr>
                <w:rFonts w:ascii="Times New Roman" w:hAnsi="Times New Roman"/>
                <w:sz w:val="24"/>
              </w:rPr>
            </w:pPr>
            <w:r>
              <w:rPr>
                <w:rFonts w:ascii="Arial" w:hAnsi="Arial"/>
                <w:color w:val="000000"/>
                <w:sz w:val="24"/>
              </w:rPr>
              <w:t xml:space="preserve">By: </w:t>
            </w:r>
            <w:r>
              <w:rPr>
                <w:rFonts w:ascii="Arial" w:hAnsi="Arial"/>
                <w:color w:val="000000"/>
                <w:sz w:val="24"/>
                <w:u w:val="single"/>
              </w:rPr>
              <w:t>/s/ John T.C. Lee</w:t>
            </w:r>
            <w:r>
              <w:rPr>
                <w:rFonts w:ascii="Arial" w:hAnsi="Arial"/>
                <w:color w:val="000000"/>
                <w:sz w:val="24"/>
              </w:rPr>
              <w:br/>
              <w:t>        John T.C. Lee</w:t>
              <w:br/>
            </w:r>
            <w:r>
              <w:rPr>
                <w:rFonts w:ascii="Times New Roman" w:hAnsi="Times New Roman"/>
                <w:color w:val="000000"/>
                <w:sz w:val="24"/>
              </w:rPr>
              <w:t> </w:t>
            </w:r>
          </w:p>
          <w:p>
            <w:pPr>
              <w:pStyle w:val="TableContents"/>
              <w:bidi w:val="0"/>
              <w:spacing w:before="0" w:after="240"/>
              <w:jc w:val="left"/>
              <w:rPr>
                <w:rFonts w:ascii="Times New Roman" w:hAnsi="Times New Roman"/>
                <w:sz w:val="24"/>
              </w:rPr>
            </w:pPr>
            <w:r>
              <w:rPr>
                <w:rFonts w:ascii="Arial" w:hAnsi="Arial"/>
                <w:color w:val="000000"/>
                <w:sz w:val="24"/>
              </w:rPr>
              <w:t xml:space="preserve">Title: President &amp; Chief Executive Officer </w:t>
              <w:br/>
            </w:r>
            <w:r>
              <w:rPr>
                <w:rFonts w:ascii="Times New Roman" w:hAnsi="Times New Roman"/>
                <w:color w:val="000000"/>
                <w:sz w:val="24"/>
              </w:rPr>
              <w:t> </w:t>
            </w:r>
          </w:p>
        </w:tc>
        <w:tc>
          <w:tcPr>
            <w:tcW w:w="1801" w:type="dxa"/>
            <w:tcBorders/>
            <w:tcMar>
              <w:top w:w="0" w:type="dxa"/>
              <w:left w:w="0" w:type="dxa"/>
              <w:bottom w:w="0" w:type="dxa"/>
              <w:right w:w="0" w:type="dxa"/>
            </w:tcMar>
            <w:vAlign w:val="center"/>
          </w:tcPr>
          <w:p>
            <w:pPr>
              <w:pStyle w:val="TableContents"/>
              <w:bidi w:val="0"/>
              <w:spacing w:before="0" w:after="240"/>
              <w:jc w:val="left"/>
              <w:rPr/>
            </w:pPr>
            <w:r>
              <w:rPr/>
              <w:t> </w:t>
            </w:r>
          </w:p>
          <w:p>
            <w:pPr>
              <w:pStyle w:val="TableContents"/>
              <w:bidi w:val="0"/>
              <w:spacing w:before="0" w:after="240"/>
              <w:jc w:val="left"/>
              <w:rPr/>
            </w:pPr>
            <w:r>
              <w:rPr/>
              <w:t> </w:t>
            </w:r>
          </w:p>
          <w:p>
            <w:pPr>
              <w:pStyle w:val="TableContents"/>
              <w:bidi w:val="0"/>
              <w:spacing w:before="0" w:after="240"/>
              <w:jc w:val="left"/>
              <w:rPr>
                <w:rFonts w:ascii="Times New Roman" w:hAnsi="Times New Roman"/>
                <w:sz w:val="24"/>
              </w:rPr>
            </w:pPr>
            <w:r>
              <w:rPr>
                <w:rFonts w:ascii="Arial" w:hAnsi="Arial"/>
                <w:color w:val="000000"/>
                <w:sz w:val="24"/>
              </w:rPr>
              <w:t>Dated:</w:t>
            </w:r>
            <w:r>
              <w:rPr>
                <w:rFonts w:ascii="Times New Roman" w:hAnsi="Times New Roman"/>
                <w:color w:val="000000"/>
                <w:sz w:val="24"/>
                <w:u w:val="single"/>
              </w:rPr>
              <w:t>  </w:t>
            </w:r>
            <w:r>
              <w:rPr>
                <w:rFonts w:ascii="Arial" w:hAnsi="Arial"/>
                <w:color w:val="000000"/>
                <w:sz w:val="24"/>
                <w:u w:val="single"/>
              </w:rPr>
              <w:t>5-11-26</w:t>
            </w:r>
          </w:p>
        </w:tc>
      </w:tr>
      <w:tr>
        <w:trPr/>
        <w:tc>
          <w:tcPr>
            <w:tcW w:w="4501" w:type="dxa"/>
            <w:tcBorders/>
            <w:tcMar>
              <w:top w:w="0" w:type="dxa"/>
              <w:left w:w="0" w:type="dxa"/>
              <w:bottom w:w="0" w:type="dxa"/>
              <w:right w:w="0" w:type="dxa"/>
            </w:tcMar>
            <w:vAlign w:val="center"/>
          </w:tcPr>
          <w:p>
            <w:pPr>
              <w:pStyle w:val="TableContents"/>
              <w:bidi w:val="0"/>
              <w:spacing w:before="0" w:after="240"/>
              <w:jc w:val="left"/>
              <w:rPr/>
            </w:pPr>
            <w:r>
              <w:rPr/>
              <w:t> </w:t>
            </w:r>
          </w:p>
        </w:tc>
        <w:tc>
          <w:tcPr>
            <w:tcW w:w="1801" w:type="dxa"/>
            <w:tcBorders/>
            <w:tcMar>
              <w:top w:w="0" w:type="dxa"/>
              <w:left w:w="0" w:type="dxa"/>
              <w:bottom w:w="0" w:type="dxa"/>
              <w:right w:w="0" w:type="dxa"/>
            </w:tcMar>
            <w:vAlign w:val="center"/>
          </w:tcPr>
          <w:p>
            <w:pPr>
              <w:pStyle w:val="TableContents"/>
              <w:bidi w:val="0"/>
              <w:spacing w:before="0" w:after="240"/>
              <w:jc w:val="left"/>
              <w:rPr/>
            </w:pPr>
            <w:r>
              <w:rPr/>
              <w:t> </w:t>
            </w:r>
          </w:p>
        </w:tc>
      </w:tr>
      <w:tr>
        <w:trPr/>
        <w:tc>
          <w:tcPr>
            <w:tcW w:w="4501" w:type="dxa"/>
            <w:tcBorders/>
            <w:tcMar>
              <w:top w:w="0" w:type="dxa"/>
              <w:left w:w="0" w:type="dxa"/>
              <w:bottom w:w="0" w:type="dxa"/>
              <w:right w:w="0" w:type="dxa"/>
            </w:tcMar>
            <w:vAlign w:val="center"/>
          </w:tcPr>
          <w:p>
            <w:pPr>
              <w:pStyle w:val="TableContents"/>
              <w:bidi w:val="0"/>
              <w:spacing w:before="0" w:after="720"/>
              <w:jc w:val="left"/>
              <w:rPr/>
            </w:pPr>
            <w:r>
              <w:rPr/>
              <w:t> </w:t>
            </w:r>
          </w:p>
          <w:p>
            <w:pPr>
              <w:pStyle w:val="TableContents"/>
              <w:bidi w:val="0"/>
              <w:spacing w:before="0" w:after="240"/>
              <w:jc w:val="left"/>
              <w:rPr>
                <w:rFonts w:ascii="Times New Roman" w:hAnsi="Times New Roman"/>
                <w:sz w:val="24"/>
              </w:rPr>
            </w:pPr>
            <w:r>
              <w:rPr>
                <w:rFonts w:ascii="Arial" w:hAnsi="Arial"/>
                <w:color w:val="000000"/>
                <w:sz w:val="24"/>
                <w:u w:val="single"/>
              </w:rPr>
              <w:t>/s/ Renee M. Donlan</w:t>
            </w:r>
            <w:r>
              <w:rPr>
                <w:rFonts w:ascii="Arial" w:hAnsi="Arial"/>
                <w:color w:val="000000"/>
                <w:sz w:val="24"/>
              </w:rPr>
              <w:br/>
              <w:t>Renee Donlan</w:t>
            </w:r>
          </w:p>
          <w:p>
            <w:pPr>
              <w:pStyle w:val="TableContents"/>
              <w:bidi w:val="0"/>
              <w:spacing w:before="0" w:after="240"/>
              <w:jc w:val="left"/>
              <w:rPr/>
            </w:pPr>
            <w:r>
              <w:rPr/>
              <w:t> </w:t>
            </w:r>
          </w:p>
        </w:tc>
        <w:tc>
          <w:tcPr>
            <w:tcW w:w="1801" w:type="dxa"/>
            <w:tcBorders/>
            <w:tcMar>
              <w:top w:w="0" w:type="dxa"/>
              <w:left w:w="0" w:type="dxa"/>
              <w:bottom w:w="0" w:type="dxa"/>
              <w:right w:w="0" w:type="dxa"/>
            </w:tcMar>
            <w:vAlign w:val="center"/>
          </w:tcPr>
          <w:p>
            <w:pPr>
              <w:pStyle w:val="TableContents"/>
              <w:bidi w:val="0"/>
              <w:spacing w:before="0" w:after="720"/>
              <w:jc w:val="left"/>
              <w:rPr/>
            </w:pPr>
            <w:r>
              <w:rPr/>
              <w:t> </w:t>
            </w:r>
          </w:p>
          <w:p>
            <w:pPr>
              <w:pStyle w:val="TableContents"/>
              <w:bidi w:val="0"/>
              <w:spacing w:before="0" w:after="240"/>
              <w:jc w:val="left"/>
              <w:rPr>
                <w:rFonts w:ascii="Times New Roman" w:hAnsi="Times New Roman"/>
                <w:sz w:val="24"/>
              </w:rPr>
            </w:pPr>
            <w:r>
              <w:rPr>
                <w:rFonts w:ascii="Arial" w:hAnsi="Arial"/>
                <w:color w:val="000000"/>
                <w:sz w:val="24"/>
              </w:rPr>
              <w:t>Dated:</w:t>
            </w:r>
            <w:r>
              <w:rPr>
                <w:rFonts w:ascii="Times New Roman" w:hAnsi="Times New Roman"/>
                <w:color w:val="000000"/>
                <w:sz w:val="24"/>
                <w:u w:val="single"/>
              </w:rPr>
              <w:t>  </w:t>
            </w:r>
            <w:r>
              <w:rPr>
                <w:rFonts w:ascii="Arial" w:hAnsi="Arial"/>
                <w:color w:val="000000"/>
                <w:sz w:val="24"/>
                <w:u w:val="single"/>
              </w:rPr>
              <w:t>5-11-26</w:t>
            </w:r>
          </w:p>
          <w:p>
            <w:pPr>
              <w:pStyle w:val="TableContents"/>
              <w:bidi w:val="0"/>
              <w:spacing w:before="0" w:after="240"/>
              <w:jc w:val="left"/>
              <w:rPr/>
            </w:pPr>
            <w:r>
              <w:rPr/>
              <w:t> </w:t>
            </w:r>
          </w:p>
          <w:p>
            <w:pPr>
              <w:pStyle w:val="TableContents"/>
              <w:bidi w:val="0"/>
              <w:spacing w:before="0" w:after="240"/>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bookmarkStart w:id="18" w:name="mksi-ex31_1.htm"/>
      <w:bookmarkStart w:id="19" w:name="ksmksiex31_1"/>
      <w:bookmarkEnd w:id="18"/>
      <w:bookmarkEnd w:id="19"/>
      <w:r>
        <w:rPr/>
        <w:t> </w:t>
      </w:r>
      <w:r>
        <w:br w:type="page"/>
      </w:r>
    </w:p>
    <w:p>
      <w:pPr>
        <w:pStyle w:val="TextBody"/>
        <w:bidi w:val="0"/>
        <w:jc w:val="right"/>
        <w:rPr>
          <w:rFonts w:ascii="Times New Roman" w:hAnsi="Times New Roman"/>
          <w:color w:val="000000"/>
          <w:sz w:val="20"/>
        </w:rPr>
      </w:pPr>
      <w:r>
        <w:rPr>
          <w:rFonts w:ascii="Times New Roman" w:hAnsi="Times New Roman"/>
          <w:color w:val="000000"/>
          <w:sz w:val="20"/>
        </w:rPr>
        <w:t xml:space="preserve">EXHIBIT 31.1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 xml:space="preserve">CERTIFICATION OF PRINCIPAL EXECUTIVE OFFICER </w:t>
      </w:r>
    </w:p>
    <w:p>
      <w:pPr>
        <w:pStyle w:val="TextBody"/>
        <w:bidi w:val="0"/>
        <w:jc w:val="center"/>
        <w:rPr>
          <w:rFonts w:ascii="Times New Roman" w:hAnsi="Times New Roman"/>
          <w:color w:val="000000"/>
          <w:sz w:val="20"/>
        </w:rPr>
      </w:pPr>
      <w:r>
        <w:rPr>
          <w:rFonts w:ascii="Times New Roman" w:hAnsi="Times New Roman"/>
          <w:color w:val="000000"/>
          <w:sz w:val="20"/>
        </w:rPr>
        <w:t xml:space="preserve">PURSUANT TO RULE 13a-14(a)/RULE 15d-14(a) OF THE </w:t>
      </w:r>
    </w:p>
    <w:p>
      <w:pPr>
        <w:pStyle w:val="TextBody"/>
        <w:bidi w:val="0"/>
        <w:jc w:val="center"/>
        <w:rPr>
          <w:rFonts w:ascii="Times New Roman" w:hAnsi="Times New Roman"/>
          <w:color w:val="000000"/>
          <w:sz w:val="20"/>
        </w:rPr>
      </w:pPr>
      <w:r>
        <w:rPr>
          <w:rFonts w:ascii="Times New Roman" w:hAnsi="Times New Roman"/>
          <w:color w:val="000000"/>
          <w:sz w:val="20"/>
        </w:rPr>
        <w:t xml:space="preserve">SECURITIES EXCHANGE ACT OF 1934, AS AMENDED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John T.C. Lee,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MKS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353" w:type="dxa"/>
        <w:jc w:val="left"/>
        <w:tblInd w:w="0" w:type="dxa"/>
        <w:tblLayout w:type="fixed"/>
        <w:tblCellMar>
          <w:top w:w="28" w:type="dxa"/>
          <w:left w:w="28" w:type="dxa"/>
          <w:bottom w:w="28" w:type="dxa"/>
          <w:right w:w="28" w:type="dxa"/>
        </w:tblCellMar>
      </w:tblPr>
      <w:tblGrid>
        <w:gridCol w:w="1951"/>
        <w:gridCol w:w="146"/>
        <w:gridCol w:w="325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6,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/s/ John T.C. Lee</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John T.C. Lee</w:t>
            </w:r>
          </w:p>
          <w:p>
            <w:pPr>
              <w:pStyle w:val="TableContents"/>
              <w:bidi w:val="0"/>
              <w:jc w:val="both"/>
              <w:rPr>
                <w:rFonts w:ascii="Times New Roman" w:hAnsi="Times New Roman"/>
                <w:color w:val="000000"/>
                <w:sz w:val="20"/>
              </w:rPr>
            </w:pPr>
            <w:r>
              <w:rPr>
                <w:rFonts w:ascii="Times New Roman" w:hAnsi="Times New Roman"/>
                <w:color w:val="000000"/>
                <w:sz w:val="20"/>
              </w:rPr>
              <w:t xml:space="preserve">President and Chief Executive Officer </w:t>
            </w:r>
          </w:p>
          <w:p>
            <w:pPr>
              <w:pStyle w:val="TableContents"/>
              <w:bidi w:val="0"/>
              <w:spacing w:before="0" w:after="15"/>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both"/>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0" w:name="mksi-ex31_2.htm"/>
      <w:bookmarkStart w:id="21" w:name="ksmksiex31_2"/>
      <w:bookmarkEnd w:id="20"/>
      <w:bookmarkEnd w:id="21"/>
      <w:r>
        <w:rPr/>
        <w:t> </w:t>
      </w:r>
      <w:r>
        <w:br w:type="page"/>
      </w:r>
    </w:p>
    <w:p>
      <w:pPr>
        <w:pStyle w:val="TextBody"/>
        <w:bidi w:val="0"/>
        <w:jc w:val="right"/>
        <w:rPr>
          <w:rFonts w:ascii="Times New Roman" w:hAnsi="Times New Roman"/>
          <w:color w:val="000000"/>
          <w:sz w:val="20"/>
        </w:rPr>
      </w:pPr>
      <w:r>
        <w:rPr>
          <w:rFonts w:ascii="Times New Roman" w:hAnsi="Times New Roman"/>
          <w:color w:val="000000"/>
          <w:sz w:val="20"/>
        </w:rPr>
        <w:t xml:space="preserve">EXHIBIT 31.2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 xml:space="preserve">CERTIFICATION OF PRINCIPAL FINANCIAL OFFICER </w:t>
      </w:r>
    </w:p>
    <w:p>
      <w:pPr>
        <w:pStyle w:val="TextBody"/>
        <w:bidi w:val="0"/>
        <w:jc w:val="center"/>
        <w:rPr>
          <w:rFonts w:ascii="Times New Roman" w:hAnsi="Times New Roman"/>
          <w:color w:val="000000"/>
          <w:sz w:val="20"/>
        </w:rPr>
      </w:pPr>
      <w:r>
        <w:rPr>
          <w:rFonts w:ascii="Times New Roman" w:hAnsi="Times New Roman"/>
          <w:color w:val="000000"/>
          <w:sz w:val="20"/>
        </w:rPr>
        <w:t xml:space="preserve">PURSUANT TO RULE 13a-14(a)/RULE 15d-14(a) OF THE </w:t>
      </w:r>
    </w:p>
    <w:p>
      <w:pPr>
        <w:pStyle w:val="TextBody"/>
        <w:bidi w:val="0"/>
        <w:jc w:val="center"/>
        <w:rPr>
          <w:rFonts w:ascii="Times New Roman" w:hAnsi="Times New Roman"/>
          <w:color w:val="000000"/>
          <w:sz w:val="20"/>
        </w:rPr>
      </w:pPr>
      <w:r>
        <w:rPr>
          <w:rFonts w:ascii="Times New Roman" w:hAnsi="Times New Roman"/>
          <w:color w:val="000000"/>
          <w:sz w:val="20"/>
        </w:rPr>
        <w:t xml:space="preserve">SECURITIES EXCHANGE ACT OF 1934, AS AMENDED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Ramakumar Mayampurath,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MKS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538" w:type="dxa"/>
        <w:jc w:val="left"/>
        <w:tblInd w:w="0" w:type="dxa"/>
        <w:tblLayout w:type="fixed"/>
        <w:tblCellMar>
          <w:top w:w="28" w:type="dxa"/>
          <w:left w:w="28" w:type="dxa"/>
          <w:bottom w:w="28" w:type="dxa"/>
          <w:right w:w="28" w:type="dxa"/>
        </w:tblCellMar>
      </w:tblPr>
      <w:tblGrid>
        <w:gridCol w:w="1951"/>
        <w:gridCol w:w="146"/>
        <w:gridCol w:w="444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6,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/s/ Ramakumar Mayampurath</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Ramakumar Mayampurath</w:t>
            </w:r>
          </w:p>
          <w:p>
            <w:pPr>
              <w:pStyle w:val="TableContents"/>
              <w:bidi w:val="0"/>
              <w:jc w:val="both"/>
              <w:rPr>
                <w:rFonts w:ascii="Times New Roman" w:hAnsi="Times New Roman"/>
                <w:color w:val="000000"/>
                <w:sz w:val="20"/>
              </w:rPr>
            </w:pPr>
            <w:r>
              <w:rPr>
                <w:rFonts w:ascii="Times New Roman" w:hAnsi="Times New Roman"/>
                <w:color w:val="000000"/>
                <w:sz w:val="20"/>
              </w:rPr>
              <w:t>Executive Vice President and Chief Financial Officer</w:t>
            </w:r>
          </w:p>
          <w:p>
            <w:pPr>
              <w:pStyle w:val="TableContents"/>
              <w:bidi w:val="0"/>
              <w:spacing w:before="0" w:after="15"/>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180" w:after="283"/>
        <w:jc w:val="both"/>
        <w:rPr/>
      </w:pPr>
      <w:bookmarkStart w:id="22" w:name="mksi-ex32_1.htm"/>
      <w:bookmarkStart w:id="23" w:name="ksmksiex32_1"/>
      <w:bookmarkEnd w:id="22"/>
      <w:bookmarkEnd w:id="23"/>
      <w:r>
        <w:rPr/>
        <w:t> </w:t>
      </w:r>
      <w:r>
        <w:br w:type="page"/>
      </w:r>
    </w:p>
    <w:p>
      <w:pPr>
        <w:pStyle w:val="TextBody"/>
        <w:bidi w:val="0"/>
        <w:jc w:val="right"/>
        <w:rPr>
          <w:rFonts w:ascii="Times New Roman" w:hAnsi="Times New Roman"/>
          <w:color w:val="000000"/>
          <w:sz w:val="20"/>
        </w:rPr>
      </w:pPr>
      <w:r>
        <w:rPr>
          <w:rFonts w:ascii="Times New Roman" w:hAnsi="Times New Roman"/>
          <w:color w:val="000000"/>
          <w:sz w:val="20"/>
        </w:rPr>
        <w:t xml:space="preserve">EXHIBIT 32.1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 xml:space="preserve">CERTIFICATION OF CHIEF EXECUTIVE OFFICER AND CHIEF FINANCIAL OFFICER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 xml:space="preserve">PURSUANT TO 18 U.S.C. SECTION 1350,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 xml:space="preserve">AS ADOPTED PURSUANT TO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 xml:space="preserve">SECTION 906 OF THE SARBANES-OXLEY ACT OF 2002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MKS Inc. (the "Company") for the period ended June 30, 2026 as filed with the Securities and Exchange Commission on the date hereof (the "Report"), the undersigned, John T.C. Lee, President and Chief Executive Officer of the Company, and Ramakumar Mayampurath, Executive Vice President and Chief Financial Officer of the Company, each hereby certifies, pursuant to 18 U.S.C. Section 1350, as adopted pursuant to Section 906 of the Sarbanes-Oxley Act of 2002, that, based on his knowledge: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207" w:type="dxa"/>
        <w:jc w:val="left"/>
        <w:tblInd w:w="0" w:type="dxa"/>
        <w:tblLayout w:type="fixed"/>
        <w:tblCellMar>
          <w:top w:w="28" w:type="dxa"/>
          <w:left w:w="28" w:type="dxa"/>
          <w:bottom w:w="28" w:type="dxa"/>
          <w:right w:w="28" w:type="dxa"/>
        </w:tblCellMar>
      </w:tblPr>
      <w:tblGrid>
        <w:gridCol w:w="1951"/>
        <w:gridCol w:w="3256"/>
      </w:tblGrid>
      <w:tr>
        <w:trPr/>
        <w:tc>
          <w:tcPr>
            <w:tcW w:w="1951"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6, 2026</w:t>
            </w:r>
          </w:p>
        </w:tc>
        <w:tc>
          <w:tcPr>
            <w:tcW w:w="3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/s/ John T.C. Lee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John T.C. Lee</w:t>
            </w:r>
          </w:p>
          <w:p>
            <w:pPr>
              <w:pStyle w:val="TableContents"/>
              <w:bidi w:val="0"/>
              <w:jc w:val="left"/>
              <w:rPr>
                <w:rFonts w:ascii="Times New Roman" w:hAnsi="Times New Roman"/>
                <w:color w:val="000000"/>
                <w:sz w:val="20"/>
              </w:rPr>
            </w:pPr>
            <w:r>
              <w:rPr>
                <w:rFonts w:ascii="Times New Roman" w:hAnsi="Times New Roman"/>
                <w:color w:val="000000"/>
                <w:sz w:val="20"/>
              </w:rPr>
              <w:t xml:space="preserve">President and Chief Executive Officer </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Executive Officer)</w:t>
            </w:r>
          </w:p>
        </w:tc>
      </w:tr>
    </w:tbl>
    <w:tbl>
      <w:tblPr>
        <w:tblW w:w="6392" w:type="dxa"/>
        <w:jc w:val="left"/>
        <w:tblInd w:w="0" w:type="dxa"/>
        <w:tblLayout w:type="fixed"/>
        <w:tblCellMar>
          <w:top w:w="28" w:type="dxa"/>
          <w:left w:w="28" w:type="dxa"/>
          <w:bottom w:w="28" w:type="dxa"/>
          <w:right w:w="28" w:type="dxa"/>
        </w:tblCellMar>
      </w:tblPr>
      <w:tblGrid>
        <w:gridCol w:w="1951"/>
        <w:gridCol w:w="4441"/>
      </w:tblGrid>
      <w:tr>
        <w:trPr/>
        <w:tc>
          <w:tcPr>
            <w:tcW w:w="1951"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6, 2026</w:t>
            </w:r>
          </w:p>
        </w:tc>
        <w:tc>
          <w:tcPr>
            <w:tcW w:w="4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/s/ Ramakumar Mayampurath</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shd w:fill="FFFFFF" w:val="clear"/>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Ramakumar Mayampurath</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Executive Vice President and Chief Financial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80" w:after="283"/>
        <w:jc w:val="both"/>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49502/000095017025072053/mksi-ex3_1.htm" TargetMode="External"/><Relationship Id="rId3" Type="http://schemas.openxmlformats.org/officeDocument/2006/relationships/hyperlink" Target="https://www.sec.gov/Archives/edgar/data/1049502/000119312524269480/d873180dex31.htm" TargetMode="External"/><Relationship Id="rId4" Type="http://schemas.openxmlformats.org/officeDocument/2006/relationships/hyperlink" Target="https://www.sec.gov/Archives/edgar/data/1049502/000095017025072053/mksi-ex3_2.htm" TargetMode="External"/><Relationship Id="rId5" Type="http://schemas.openxmlformats.org/officeDocument/2006/relationships/hyperlink" Target="https://www.sec.gov/Archives/edgar/data/1049502/000119312526216057/d57078dex991.htm" TargetMode="External"/><Relationship Id="rId6" Type="http://schemas.openxmlformats.org/officeDocument/2006/relationships/hyperlink" Target="https://www.sec.gov/Archives/edgar/data/1049502/000119312526219474/d22582dex102.htm" TargetMode="External"/><Relationship Id="rId7" Type="http://schemas.openxmlformats.org/officeDocument/2006/relationships/hyperlink" Target="https://www.sec.gov/Archives/edgar/data/1049502/000119312526219474/d22582dex103.htm" TargetMode="External"/><Relationship Id="rId8" Type="http://schemas.openxmlformats.org/officeDocument/2006/relationships/hyperlink" Target="https://www.sec.gov/Archives/edgar/data/1049502/000119312526219474/d22582dex104.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30881</Words>
  <Characters>164181</Characters>
  <CharactersWithSpaces>197394</CharactersWithSpaces>
  <Paragraphs>9514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