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COLELLA GERALD G</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MKS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MKSI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MKS INC.</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 TECH DRIVE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781.959</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82"/>
              <w:spacing w:after="0"/>
              <w:rPr>
                <w:sz w:val="20"/>
                <w:szCs w:val="20"/>
                <w:color w:val="auto"/>
              </w:rPr>
            </w:pPr>
            <w:r>
              <w:rPr>
                <w:rFonts w:ascii="Times New Roman" w:cs="Times New Roman" w:eastAsia="Times New Roman" w:hAnsi="Times New Roman"/>
                <w:sz w:val="11"/>
                <w:szCs w:val="11"/>
                <w:color w:val="008000"/>
              </w:rPr>
              <w:t>(2)</w:t>
            </w:r>
          </w:p>
        </w:tc>
        <w:tc>
          <w:tcPr>
            <w:tcW w:w="11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8,998.886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Gerald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color w:val="0000FF"/>
              </w:rPr>
              <w:t>40,017</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Colella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become fully vested on the day prior to the first annual meeting of shareholders following the date of grant (or if no such meeting is held within 13 months after the date of grant, on the 13 month anniversary of the date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common stock of MKS Inc.</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6715"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2026-05-12T14:00:56Z</dcterms:created>
  <dcterms:modified xsi:type="dcterms:W3CDTF">2026-05-12T14:00:56Z</dcterms:modified>
</cp:coreProperties>
</file>